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INTEST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04/11/2025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ASKELADDEN CAPITAL MANAGEMENT LLC</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Samir Patel</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INTEST CORP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804 EAST GATE DR., SUITE 200, 804 EAST GATE DR., SUITE 200, MT. LAUREL, NEW JERSEY, 08054.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and on behalf of each of Askeladden Capital Management, LLC, a Texas limited liability company ('Askeladden') and Samir Patel. The separately managed accounts on behalf of investment advisory clients ('Managed Accounts') of Askeladden are the record and direct beneficial owners of the securities covered by this statement. As the investment adviser to the Managed Accounts, Askeladden may be deemed to beneficially own the securities covered by this statement. Mr. Patel is the Member of, and may be deemed to beneficially own securities owned by, Askeladden.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1452 Hughes Road, Suite 200 #582, Grapevine, Texas 76051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 calculated in Item 11 is based on 12,564,657 shares of Common Stock outstanding as of April 30, 2026, as reported in the Issuer's Quarterly Report on Form 10-Q for the quarter ended March 31, 2026 and as filed with the SEC on May 11,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ASKELADDEN CAPITAL MANAGEMENT LLC</w:t>
                  </w:r>
                </w:p>
              </w:tc>
            </w:tr>
          </w:tbl>
          <w:p>
            <w:pPr>
              <w:pStyle w:val="TableContents"/>
              <w:bidi w:val="0"/>
              <w:spacing w:before="0" w:after="283"/>
              <w:jc w:val="left"/>
              <w:rPr/>
            </w:pPr>
            <w:r>
              <w:rPr/>
            </w:r>
          </w:p>
        </w:tc>
        <w:tc>
          <w:tcPr>
            <w:tcW w:w="50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Samir Patel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1229</Words>
  <Characters>6108</Characters>
  <CharactersWithSpaces>7313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