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August 10,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10, 2026, InTest Corporation (the “Company”) issued a press release regarding its financial results for the second quarter ended June 30,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under such section and shall not be deemed to be incorporated by reference into any filing of the Company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00"/>
        <w:ind w:left="0" w:right="0" w:hanging="270"/>
        <w:jc w:val="left"/>
        <w:rPr/>
      </w:pPr>
      <w:r>
        <w:rPr>
          <w:rFonts w:ascii="Arial;sans-serif" w:hAnsi="Arial;sans-serif"/>
          <w:b w:val="false"/>
          <w:color w:val="000000"/>
          <w:sz w:val="20"/>
        </w:rPr>
        <w:t>(d)</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407"/>
        <w:gridCol w:w="357"/>
        <w:gridCol w:w="360"/>
        <w:gridCol w:w="2657"/>
        <w:gridCol w:w="2657"/>
        <w:gridCol w:w="376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tt-20260810xexx991.htm">
              <w:r>
                <w:rPr>
                  <w:rStyle w:val="InternetLink"/>
                  <w:rFonts w:ascii="Arial;sans-serif" w:hAnsi="Arial;sans-serif"/>
                  <w:b w:val="false"/>
                  <w:color w:val="0000FF"/>
                  <w:sz w:val="20"/>
                  <w:u w:val="single"/>
                </w:rPr>
                <w:t>2026 Second Quarter Results Press Release dated August 10, 2026.</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lineRule="auto" w:line="288" w:before="0" w:after="240"/>
        <w:jc w:val="center"/>
        <w:rPr/>
      </w:pPr>
      <w:r>
        <w:rPr>
          <w:rFonts w:ascii="Arial;sans-serif" w:hAnsi="Arial;sans-serif"/>
          <w:b w:val="false"/>
          <w:color w:val="000000"/>
          <w:sz w:val="20"/>
        </w:rPr>
        <w:t>__________</w:t>
      </w:r>
      <w:r>
        <w:rPr>
          <w:rFonts w:ascii="Times New Roman;serif" w:hAnsi="Times New Roman;serif"/>
          <w:b w:val="false"/>
          <w:color w:val="000000"/>
          <w:sz w:val="20"/>
        </w:rPr>
        <w:t>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1418"/>
        <w:gridCol w:w="1418"/>
        <w:gridCol w:w="1423"/>
        <w:gridCol w:w="235"/>
        <w:gridCol w:w="235"/>
        <w:gridCol w:w="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right"/>
        <w:rPr/>
      </w:pPr>
      <w:r>
        <w:rPr/>
      </w:r>
    </w:p>
    <w:tbl>
      <w:tblPr>
        <w:tblW w:w="9280" w:type="dxa"/>
        <w:jc w:val="left"/>
        <w:tblInd w:w="0" w:type="dxa"/>
        <w:tblLayout w:type="fixed"/>
        <w:tblCellMar>
          <w:top w:w="28" w:type="dxa"/>
          <w:left w:w="28" w:type="dxa"/>
          <w:bottom w:w="28" w:type="dxa"/>
          <w:right w:w="28" w:type="dxa"/>
        </w:tblCellMar>
      </w:tblPr>
      <w:tblGrid>
        <w:gridCol w:w="1706"/>
        <w:gridCol w:w="1499"/>
        <w:gridCol w:w="1501"/>
        <w:gridCol w:w="1339"/>
        <w:gridCol w:w="1339"/>
        <w:gridCol w:w="1896"/>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bottom w:val="single" w:sz="1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29241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24175" cy="419100"/>
                          </a:xfrm>
                          <a:prstGeom prst="rect">
                            <a:avLst/>
                          </a:prstGeom>
                        </pic:spPr>
                      </pic:pic>
                    </a:graphicData>
                  </a:graphic>
                </wp:inline>
              </w:drawing>
            </w:r>
          </w:p>
        </w:tc>
        <w:tc>
          <w:tcPr>
            <w:tcW w:w="4574" w:type="dxa"/>
            <w:gridSpan w:val="3"/>
            <w:tcBorders>
              <w:left w:val="single" w:sz="18" w:space="0" w:color="000000"/>
              <w:bottom w:val="single" w:sz="18" w:space="0" w:color="000000"/>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56"/>
              </w:rPr>
            </w:pPr>
            <w:r>
              <w:rPr>
                <w:rFonts w:ascii="Arial;sans-serif" w:hAnsi="Arial;sans-serif"/>
                <w:b w:val="false"/>
                <w:color w:val="000000"/>
                <w:sz w:val="56"/>
              </w:rPr>
              <w:t>NEWS RELEASE</w:t>
            </w:r>
          </w:p>
        </w:tc>
      </w:tr>
    </w:tbl>
    <w:p>
      <w:pPr>
        <w:pStyle w:val="TextBody"/>
        <w:bidi w:val="0"/>
        <w:spacing w:lineRule="auto" w:line="288" w:before="20" w:after="283"/>
        <w:jc w:val="right"/>
        <w:rPr>
          <w:rFonts w:ascii="Arial Narrow;sans-serif" w:hAnsi="Arial Narrow;sans-serif"/>
          <w:b w:val="false"/>
          <w:color w:val="000000"/>
          <w:sz w:val="18"/>
        </w:rPr>
      </w:pPr>
      <w:r>
        <w:rPr>
          <w:rFonts w:ascii="Arial Narrow;sans-serif" w:hAnsi="Arial Narrow;sans-serif"/>
          <w:b w:val="false"/>
          <w:color w:val="000000"/>
          <w:sz w:val="18"/>
        </w:rPr>
        <w:t>804 EAST GATE DRIVE, SUITE 200, MOUNT LAUREL, NJ 08054</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 xml:space="preserve">FOR IMMEDIATE RELEASE </w:t>
      </w:r>
    </w:p>
    <w:p>
      <w:pPr>
        <w:pStyle w:val="TextBody"/>
        <w:bidi w:val="0"/>
        <w:spacing w:lineRule="auto" w:line="288" w:before="360" w:after="283"/>
        <w:jc w:val="center"/>
        <w:rPr>
          <w:rFonts w:ascii="Arial Narrow;sans-serif" w:hAnsi="Arial Narrow;sans-serif"/>
          <w:b/>
          <w:color w:val="000000"/>
          <w:sz w:val="28"/>
        </w:rPr>
      </w:pPr>
      <w:r>
        <w:rPr>
          <w:rFonts w:ascii="Arial Narrow;sans-serif" w:hAnsi="Arial Narrow;sans-serif"/>
          <w:b/>
          <w:color w:val="000000"/>
          <w:sz w:val="28"/>
        </w:rPr>
        <w:t>InTest Reports Strong Second Quarter 2026 Revenue of $35.3 Million</w:t>
      </w:r>
    </w:p>
    <w:p>
      <w:pPr>
        <w:pStyle w:val="TextBody"/>
        <w:bidi w:val="0"/>
        <w:spacing w:lineRule="auto" w:line="288" w:before="0" w:after="240"/>
        <w:jc w:val="center"/>
        <w:rPr>
          <w:rFonts w:ascii="Arial Narrow;sans-serif" w:hAnsi="Arial Narrow;sans-serif"/>
          <w:b/>
          <w:color w:val="000000"/>
          <w:sz w:val="28"/>
        </w:rPr>
      </w:pPr>
      <w:r>
        <w:rPr>
          <w:rFonts w:ascii="Arial Narrow;sans-serif" w:hAnsi="Arial Narrow;sans-serif"/>
          <w:b/>
          <w:color w:val="000000"/>
          <w:sz w:val="28"/>
        </w:rPr>
        <w:t>EPS of $0.04 and Adjusted EPS (Non-GAAP) of $0.09</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2"/>
        </w:rPr>
        <w:t>Second quarter revenue up</w:t>
      </w:r>
      <w:r>
        <w:rPr>
          <w:color w:val="C02026"/>
        </w:rPr>
        <w:t xml:space="preserve"> </w:t>
      </w:r>
      <w:r>
        <w:rPr>
          <w:rFonts w:ascii="Arial Narrow;sans-serif" w:hAnsi="Arial Narrow;sans-serif"/>
          <w:b w:val="false"/>
          <w:i/>
          <w:color w:val="000000"/>
          <w:sz w:val="22"/>
        </w:rPr>
        <w:t>25.5% year-over-year, driven largely by strength in the Auto/EV market</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2"/>
        </w:rPr>
        <w:t>Backlog</w:t>
      </w:r>
      <w:r>
        <w:rPr>
          <w:rFonts w:ascii="Arial Narrow;sans-serif" w:hAnsi="Arial Narrow;sans-serif"/>
          <w:b w:val="false"/>
          <w:i/>
          <w:color w:val="000000"/>
          <w:sz w:val="14"/>
        </w:rPr>
        <w:t>1</w:t>
      </w:r>
      <w:r>
        <w:rPr>
          <w:color w:val="000000"/>
        </w:rPr>
        <w:t xml:space="preserve"> </w:t>
      </w:r>
      <w:r>
        <w:rPr>
          <w:rFonts w:ascii="Arial Narrow;sans-serif" w:hAnsi="Arial Narrow;sans-serif"/>
          <w:b w:val="false"/>
          <w:i/>
          <w:color w:val="000000"/>
          <w:sz w:val="22"/>
        </w:rPr>
        <w:t>of $45.4 million increased 19.8% year-over-year</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2"/>
        </w:rPr>
        <w:t>Net earnings of $0.5 million, up 194.2%</w:t>
      </w:r>
      <w:r>
        <w:rPr>
          <w:color w:val="000000"/>
        </w:rPr>
        <w:t xml:space="preserve"> </w:t>
      </w:r>
      <w:r>
        <w:rPr>
          <w:rFonts w:ascii="Arial Narrow;sans-serif" w:hAnsi="Arial Narrow;sans-serif"/>
          <w:b w:val="false"/>
          <w:i/>
          <w:color w:val="000000"/>
          <w:sz w:val="22"/>
        </w:rPr>
        <w:t>year-over-year</w:t>
      </w:r>
      <w:r>
        <w:rPr>
          <w:rFonts w:ascii="Times New Roman;serif" w:hAnsi="Times New Roman;serif"/>
          <w:b w:val="false"/>
          <w:color w:val="000000"/>
          <w:sz w:val="20"/>
        </w:rPr>
        <w:t xml:space="preserve">, </w:t>
      </w:r>
      <w:r>
        <w:rPr>
          <w:rFonts w:ascii="Arial Narrow;sans-serif" w:hAnsi="Arial Narrow;sans-serif"/>
          <w:b w:val="false"/>
          <w:i/>
          <w:color w:val="000000"/>
          <w:sz w:val="22"/>
        </w:rPr>
        <w:t>Adjusted EBITDA (Non-GAAP)</w:t>
      </w:r>
      <w:r>
        <w:rPr>
          <w:rFonts w:ascii="Arial Narrow;sans-serif" w:hAnsi="Arial Narrow;sans-serif"/>
          <w:b w:val="false"/>
          <w:color w:val="000000"/>
          <w:sz w:val="14"/>
        </w:rPr>
        <w:t>2</w:t>
      </w:r>
      <w:r>
        <w:rPr>
          <w:color w:val="000000"/>
        </w:rPr>
        <w:t xml:space="preserve"> </w:t>
      </w:r>
      <w:r>
        <w:rPr>
          <w:rFonts w:ascii="Arial Narrow;sans-serif" w:hAnsi="Arial Narrow;sans-serif"/>
          <w:b w:val="false"/>
          <w:i/>
          <w:color w:val="000000"/>
          <w:sz w:val="22"/>
        </w:rPr>
        <w:t>of $2.2 million, up 73.7% year-over-year</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2"/>
        </w:rPr>
        <w:t>Revising first quarter ending inventory, cost of revenue, gross profit, gross margin, income tax expense, net earnings and EPS as previously announced</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2"/>
        </w:rPr>
        <w:t xml:space="preserve">Reiterates full-year 2026 Revenue Outlook of $135 million to $140 million </w:t>
      </w:r>
    </w:p>
    <w:p>
      <w:pPr>
        <w:pStyle w:val="TextBody"/>
        <w:bidi w:val="0"/>
        <w:spacing w:lineRule="auto" w:line="288" w:before="240" w:after="120"/>
        <w:jc w:val="left"/>
        <w:rPr/>
      </w:pPr>
      <w:r>
        <w:rPr>
          <w:rFonts w:ascii="Arial Narrow;sans-serif" w:hAnsi="Arial Narrow;sans-serif"/>
          <w:b/>
          <w:color w:val="C02026"/>
          <w:sz w:val="22"/>
        </w:rPr>
        <w:t>MT. LAUREL, NJ – August 10, 2026</w:t>
      </w:r>
      <w:r>
        <w:rPr>
          <w:color w:val="000000"/>
        </w:rPr>
        <w:t xml:space="preserve"> – </w:t>
      </w:r>
      <w:r>
        <w:rPr>
          <w:rFonts w:ascii="Arial Narrow;sans-serif" w:hAnsi="Arial Narrow;sans-serif"/>
          <w:b w:val="false"/>
          <w:color w:val="000000"/>
          <w:sz w:val="22"/>
        </w:rPr>
        <w:t xml:space="preserve">InTest Corporation (NYSE American: </w:t>
      </w:r>
      <w:r>
        <w:rPr>
          <w:rFonts w:ascii="Arial Narrow;sans-serif" w:hAnsi="Arial Narrow;sans-serif"/>
          <w:b/>
          <w:color w:val="C02026"/>
          <w:sz w:val="22"/>
        </w:rPr>
        <w:t>INTT</w:t>
      </w:r>
      <w:r>
        <w:rPr>
          <w:rFonts w:ascii="Arial Narrow;sans-serif" w:hAnsi="Arial Narrow;sans-serif"/>
          <w:b w:val="false"/>
          <w:color w:val="000000"/>
          <w:sz w:val="22"/>
        </w:rPr>
        <w:t>), a global supplier of innovative test and process technology solutions for use in manufacturing and testing in key target markets which include semiconductor (“Semi”), Auto/EV, Defense/Aerospace, Industrial, Life Sciences, and Safety/Security, today announced financial results for the second quarter of 2026 ended June 30, 2026.</w:t>
      </w:r>
    </w:p>
    <w:p>
      <w:pPr>
        <w:pStyle w:val="TextBody"/>
        <w:bidi w:val="0"/>
        <w:spacing w:lineRule="auto" w:line="288" w:before="0" w:after="120"/>
        <w:jc w:val="left"/>
        <w:rPr/>
      </w:pPr>
      <w:r>
        <w:rPr>
          <w:color w:val="000000"/>
        </w:rPr>
        <w:t>“</w:t>
      </w:r>
      <w:r>
        <w:rPr>
          <w:rFonts w:ascii="Arial Narrow;sans-serif" w:hAnsi="Arial Narrow;sans-serif"/>
          <w:b w:val="false"/>
          <w:color w:val="000000"/>
          <w:sz w:val="22"/>
        </w:rPr>
        <w:t>We delivered second-quarter revenue of $35.3 million, up 25.5% year-over-year, our third consecutive quarter of sequential growth and our second straight quarter of year-over-year growth above 25%,” stated Rich Rogoff, President and CEO. “Strong Auto/EV project delivery and the diversification we have built across our end markets powered the result, with non-semiconductor markets contributing approximately 74% of revenue that drove an approximate 74% increase in Adjusted EBITDA</w:t>
      </w:r>
      <w:r>
        <w:rPr>
          <w:rFonts w:ascii="Arial Narrow;sans-serif" w:hAnsi="Arial Narrow;sans-serif"/>
          <w:b w:val="false"/>
          <w:color w:val="000000"/>
          <w:sz w:val="14"/>
        </w:rPr>
        <w:t>2</w:t>
      </w:r>
      <w:r>
        <w:rPr>
          <w:color w:val="000000"/>
        </w:rPr>
        <w:t xml:space="preserve"> </w:t>
      </w:r>
      <w:r>
        <w:rPr>
          <w:rFonts w:ascii="Arial Narrow;sans-serif" w:hAnsi="Arial Narrow;sans-serif"/>
          <w:b w:val="false"/>
          <w:color w:val="000000"/>
          <w:sz w:val="22"/>
        </w:rPr>
        <w:t>year-over-year. This is the diversified growth profile we are building for InTest.</w:t>
      </w:r>
    </w:p>
    <w:p>
      <w:pPr>
        <w:pStyle w:val="TextBody"/>
        <w:bidi w:val="0"/>
        <w:spacing w:lineRule="auto" w:line="288" w:before="0" w:after="120"/>
        <w:jc w:val="left"/>
        <w:rPr>
          <w:color w:val="000000"/>
        </w:rPr>
      </w:pPr>
      <w:r>
        <w:rPr>
          <w:color w:val="000000"/>
        </w:rPr>
        <w:t>“</w:t>
      </w:r>
      <w:r>
        <w:rPr>
          <w:rFonts w:ascii="Arial Narrow;sans-serif" w:hAnsi="Arial Narrow;sans-serif"/>
          <w:b w:val="false"/>
          <w:color w:val="000000"/>
          <w:sz w:val="22"/>
        </w:rPr>
        <w:t>Our leading indicators point to a strengthening second half,” continued Mr. Rogoff. “Semiconductor orders were the standout and have increased approximately 56% sequentially and approximately 64% year-over-year, making the second quarter our strongest Semi order intake in six quarters as the demand we have been building into our funnel has started to convert into orders. With backlog of $45.4 million, up 19.8% year-over-year, expanding Defense/Aerospace opportunities tied to higher U.S. Department of Defense spending, and healthy Auto/EV activity supported by rising electronic content, we entered the third quarter with momentum across our divisions.</w:t>
      </w:r>
    </w:p>
    <w:p>
      <w:pPr>
        <w:pStyle w:val="TextBody"/>
        <w:bidi w:val="0"/>
        <w:spacing w:lineRule="auto" w:line="288" w:before="0" w:after="24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Orders and Backlog are key performance metrics. See “</w:t>
      </w:r>
      <w:r>
        <w:rPr>
          <w:rFonts w:ascii="Arial Narrow;sans-serif" w:hAnsi="Arial Narrow;sans-serif"/>
          <w:b/>
          <w:color w:val="000000"/>
          <w:sz w:val="16"/>
        </w:rPr>
        <w:t>Key Performance Indicators</w:t>
      </w:r>
      <w:r>
        <w:rPr>
          <w:color w:val="000000"/>
        </w:rPr>
        <w:t xml:space="preserve">” </w:t>
      </w:r>
      <w:r>
        <w:rPr>
          <w:rFonts w:ascii="Arial Narrow;sans-serif" w:hAnsi="Arial Narrow;sans-serif"/>
          <w:b w:val="false"/>
          <w:color w:val="000000"/>
          <w:sz w:val="16"/>
        </w:rPr>
        <w:t>below for important disclosures regarding InTest’s use of these metrics.</w:t>
      </w:r>
    </w:p>
    <w:p>
      <w:pPr>
        <w:pStyle w:val="TextBody"/>
        <w:bidi w:val="0"/>
        <w:spacing w:lineRule="auto" w:line="288" w:before="0" w:after="24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Adjusted net earnings (loss), adjusted EPS, adjusted EBITDA, and adjusted EBITDA margin are non-GAAP financial measures. Further information can be found under “</w:t>
      </w:r>
      <w:r>
        <w:rPr>
          <w:rFonts w:ascii="Arial Narrow;sans-serif" w:hAnsi="Arial Narrow;sans-serif"/>
          <w:b/>
          <w:color w:val="000000"/>
          <w:sz w:val="16"/>
        </w:rPr>
        <w:t>Non-GAAP Financial Measures</w:t>
      </w:r>
      <w:r>
        <w:rPr>
          <w:rFonts w:ascii="Arial Narrow;sans-serif" w:hAnsi="Arial Narrow;sans-serif"/>
          <w:b w:val="false"/>
          <w:color w:val="000000"/>
          <w:sz w:val="16"/>
        </w:rPr>
        <w:t>.” See also the reconciliations of GAAP financial measures to non-GAAP financial measures that accompany this press release.</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2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336" w:before="0" w:after="120"/>
        <w:jc w:val="left"/>
        <w:rPr/>
      </w:pPr>
      <w:r>
        <w:rPr>
          <w:rFonts w:ascii="Arial Narrow;sans-serif" w:hAnsi="Arial Narrow;sans-serif"/>
          <w:b/>
          <w:color w:val="000000"/>
          <w:sz w:val="22"/>
        </w:rPr>
        <w:t xml:space="preserve">Second Quarter 2026 Review </w:t>
      </w:r>
      <w:r>
        <w:rPr>
          <w:rFonts w:ascii="Arial Narrow;sans-serif" w:hAnsi="Arial Narrow;sans-serif"/>
          <w:b w:val="false"/>
          <w:i/>
          <w:color w:val="000000"/>
          <w:sz w:val="22"/>
        </w:rPr>
        <w:t xml:space="preserve">(see revenue by market and by segments in accompanying tables) </w:t>
      </w:r>
    </w:p>
    <w:tbl>
      <w:tblPr>
        <w:tblW w:w="10205" w:type="dxa"/>
        <w:jc w:val="left"/>
        <w:tblInd w:w="0" w:type="dxa"/>
        <w:tblLayout w:type="fixed"/>
        <w:tblCellMar>
          <w:top w:w="28" w:type="dxa"/>
          <w:left w:w="28" w:type="dxa"/>
          <w:bottom w:w="28" w:type="dxa"/>
          <w:right w:w="28" w:type="dxa"/>
        </w:tblCellMar>
      </w:tblPr>
      <w:tblGrid>
        <w:gridCol w:w="832"/>
        <w:gridCol w:w="732"/>
        <w:gridCol w:w="737"/>
        <w:gridCol w:w="181"/>
        <w:gridCol w:w="571"/>
        <w:gridCol w:w="226"/>
        <w:gridCol w:w="109"/>
        <w:gridCol w:w="109"/>
        <w:gridCol w:w="109"/>
        <w:gridCol w:w="181"/>
        <w:gridCol w:w="571"/>
        <w:gridCol w:w="243"/>
        <w:gridCol w:w="109"/>
        <w:gridCol w:w="109"/>
        <w:gridCol w:w="109"/>
        <w:gridCol w:w="181"/>
        <w:gridCol w:w="496"/>
        <w:gridCol w:w="109"/>
        <w:gridCol w:w="109"/>
        <w:gridCol w:w="109"/>
        <w:gridCol w:w="109"/>
        <w:gridCol w:w="225"/>
        <w:gridCol w:w="226"/>
        <w:gridCol w:w="226"/>
        <w:gridCol w:w="109"/>
        <w:gridCol w:w="109"/>
        <w:gridCol w:w="109"/>
        <w:gridCol w:w="181"/>
        <w:gridCol w:w="571"/>
        <w:gridCol w:w="226"/>
        <w:gridCol w:w="109"/>
        <w:gridCol w:w="109"/>
        <w:gridCol w:w="109"/>
        <w:gridCol w:w="181"/>
        <w:gridCol w:w="496"/>
        <w:gridCol w:w="109"/>
        <w:gridCol w:w="109"/>
        <w:gridCol w:w="109"/>
        <w:gridCol w:w="109"/>
        <w:gridCol w:w="223"/>
        <w:gridCol w:w="228"/>
        <w:gridCol w:w="291"/>
      </w:tblGrid>
      <w:tr>
        <w:trPr/>
        <w:tc>
          <w:tcPr>
            <w:tcW w:w="8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3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Three Months Ended</w:t>
            </w:r>
          </w:p>
        </w:tc>
      </w:tr>
      <w:tr>
        <w:trPr/>
        <w:tc>
          <w:tcPr>
            <w:tcW w:w="23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i/>
                <w:color w:val="000000"/>
                <w:sz w:val="16"/>
              </w:rPr>
            </w:pPr>
            <w:r>
              <w:rPr>
                <w:rFonts w:ascii="Arial Narrow;sans-serif" w:hAnsi="Arial Narrow;sans-serif"/>
                <w:b/>
                <w:i/>
                <w:color w:val="000000"/>
                <w:sz w:val="16"/>
              </w:rPr>
              <w:t>($ in thousands except percentages and per share data)</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2301"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 Narrow;sans-serif" w:hAnsi="Arial Narrow;sans-serif"/>
                <w:b/>
                <w:color w:val="000000"/>
                <w:sz w:val="16"/>
              </w:rPr>
              <w:t>2026</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35,313 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28,130 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7,183 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25.5</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33,886 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4.2</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14,298 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11,973 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19.4</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14,658 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(2.5</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 xml:space="preserve">Gross margin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40.5</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42.6</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43.3</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 Narrow;sans-serif" w:hAnsi="Arial Narrow;sans-serif"/>
                <w:b w:val="false"/>
                <w:color w:val="000000"/>
                <w:sz w:val="16"/>
              </w:rPr>
              <w:t xml:space="preserve">Operating expenses </w:t>
            </w:r>
            <w:r>
              <w:rPr>
                <w:rFonts w:ascii="Arial Narrow;sans-serif" w:hAnsi="Arial Narrow;sans-serif"/>
                <w:b w:val="false"/>
                <w:i/>
                <w:color w:val="000000"/>
                <w:sz w:val="16"/>
              </w:rPr>
              <w:t>(including intangible amortization &amp; restructuring)</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13,935 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12,900 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8.0</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14,454 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(3.6</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Operating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(927)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139.2</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77.9</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 xml:space="preserve">Operating margin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1.0</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(3.3</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0.6</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Net earnings (loss)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474 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(503)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194.2</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159.0</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Net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1.3</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(1.8</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0.5</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 Narrow;sans-serif" w:hAnsi="Arial Narrow;sans-serif"/>
                <w:b w:val="false"/>
                <w:color w:val="000000"/>
                <w:sz w:val="16"/>
              </w:rPr>
              <w:t>Earnings (loss) per diluted share (“</w:t>
            </w:r>
            <w:r>
              <w:rPr>
                <w:rFonts w:ascii="Arial Narrow;sans-serif" w:hAnsi="Arial Narrow;sans-serif"/>
                <w:b/>
                <w:color w:val="000000"/>
                <w:sz w:val="16"/>
                <w:u w:val="single"/>
              </w:rPr>
              <w:t>EPS</w:t>
            </w:r>
            <w:r>
              <w:rPr>
                <w:color w:val="000000"/>
              </w:rPr>
              <w:t>”</w:t>
            </w:r>
            <w:r>
              <w:rPr>
                <w:rFonts w:ascii="Arial Narrow;sans-serif" w:hAnsi="Arial Narrow;sans-serif"/>
                <w:b w:val="false"/>
                <w:color w:val="000000"/>
                <w:sz w:val="16"/>
              </w:rPr>
              <w:t>)</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200.0</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300.0</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 Narrow;sans-serif" w:hAnsi="Arial Narrow;sans-serif"/>
                <w:b w:val="false"/>
                <w:color w:val="000000"/>
                <w:sz w:val="16"/>
              </w:rPr>
              <w:t>Adjusted net earnings (Non-GAAP)</w:t>
            </w:r>
            <w:r>
              <w:rPr>
                <w:rFonts w:ascii="Arial Narrow;sans-serif" w:hAnsi="Arial Narrow;sans-serif"/>
                <w:b w:val="false"/>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1,091 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417 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161.6</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1,412 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(22.7</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 Narrow;sans-serif" w:hAnsi="Arial Narrow;sans-serif"/>
                <w:b w:val="false"/>
                <w:color w:val="000000"/>
                <w:sz w:val="16"/>
              </w:rPr>
              <w:t>Adjusted EPS (Non-GAAP)</w:t>
            </w:r>
            <w:r>
              <w:rPr>
                <w:rFonts w:ascii="Arial Narrow;sans-serif" w:hAnsi="Arial Narrow;sans-serif"/>
                <w:b w:val="false"/>
                <w:color w:val="000000"/>
                <w:sz w:val="10"/>
              </w:rPr>
              <w:t>2</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200.0</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(18.2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 Narrow;sans-serif" w:hAnsi="Arial Narrow;sans-serif"/>
                <w:b w:val="false"/>
                <w:color w:val="000000"/>
                <w:sz w:val="16"/>
              </w:rPr>
              <w:t>Adjusted EBITDA (Non-GAAP)</w:t>
            </w:r>
            <w:r>
              <w:rPr>
                <w:rFonts w:ascii="Arial Narrow;sans-serif" w:hAnsi="Arial Narrow;sans-serif"/>
                <w:b w:val="false"/>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2,192 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1,262 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73.7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2,415 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6"/>
              </w:rPr>
            </w:pPr>
            <w:r>
              <w:rPr>
                <w:rFonts w:ascii="Arial Narrow;sans-serif" w:hAnsi="Arial Narrow;sans-serif"/>
                <w:b w:val="false"/>
                <w:color w:val="000000"/>
                <w:sz w:val="16"/>
              </w:rPr>
              <w:t>(9.2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i/>
                <w:color w:val="000000"/>
                <w:sz w:val="16"/>
              </w:rPr>
              <w:t>Adjusted EBITDA margin (Non-GAAP)</w:t>
            </w:r>
            <w:r>
              <w:rPr>
                <w:rFonts w:ascii="Arial Narrow;sans-serif" w:hAnsi="Arial Narrow;sans-serif"/>
                <w:b w:val="false"/>
                <w:i/>
                <w:color w:val="000000"/>
                <w:sz w:val="10"/>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6.2</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4.5</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6"/>
              </w:rPr>
            </w:pPr>
            <w:r>
              <w:rPr>
                <w:rFonts w:ascii="Arial Narrow;sans-serif" w:hAnsi="Arial Narrow;sans-serif"/>
                <w:b w:val="false"/>
                <w:i/>
                <w:color w:val="000000"/>
                <w:sz w:val="16"/>
              </w:rPr>
              <w:t>7.1</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color w:val="000000"/>
        </w:rPr>
        <w:t xml:space="preserve">† </w:t>
      </w:r>
      <w:r>
        <w:rPr>
          <w:rFonts w:ascii="Arial Narrow;sans-serif" w:hAnsi="Arial Narrow;sans-serif"/>
          <w:b w:val="false"/>
          <w:color w:val="000000"/>
          <w:sz w:val="16"/>
        </w:rPr>
        <w:t>March 31, 2026 as revised</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Revenue for the second quarter increased $1.4 million over the first quarter of 2026, reflecting higher Auto/EV and Industrial revenue, partially offset by lower Defense/Aerospace, Life Sciences and Semi revenue. Compared to the prior-year period, second quarter revenue increased $7.2 million with growth primarily in Auto/EV, partially offset by decreases primarily in Semi.</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Gross margin declined by 280 basis points sequentially to 40.5%, reflecting a shift in product mix toward higher-volume, lower-margin Auto/EV revenue. Compared to the prior-year period, gross margin declined 210 basis points reflecting the same shift in mix toward lower-margin Auto/EV revenue.</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Operating expenses decreased $0.5 million sequentially due primarily to $0.7 million in non-recurring restructuring costs associated with our CEO transition in the first quarter of 2026 but increased $1.0 million year-over-year, due primarily to higher selling, general and administrative and engineering expense due primarily to higher payroll, payroll related costs and commissions.</w:t>
      </w:r>
    </w:p>
    <w:p>
      <w:pPr>
        <w:pStyle w:val="TextBody"/>
        <w:bidi w:val="0"/>
        <w:spacing w:lineRule="auto" w:line="288" w:before="120" w:after="120"/>
        <w:jc w:val="left"/>
        <w:rPr/>
      </w:pPr>
      <w:r>
        <w:rPr>
          <w:rFonts w:ascii="Arial Narrow;sans-serif" w:hAnsi="Arial Narrow;sans-serif"/>
          <w:b w:val="false"/>
          <w:color w:val="000000"/>
          <w:sz w:val="22"/>
        </w:rPr>
        <w:t>Net earnings for the second</w:t>
      </w:r>
      <w:r>
        <w:rPr>
          <w:color w:val="000000"/>
        </w:rPr>
        <w:t xml:space="preserve"> </w:t>
      </w:r>
      <w:r>
        <w:rPr>
          <w:rFonts w:ascii="Arial Narrow;sans-serif" w:hAnsi="Arial Narrow;sans-serif"/>
          <w:b w:val="false"/>
          <w:color w:val="000000"/>
          <w:sz w:val="22"/>
        </w:rPr>
        <w:t>quarter were $0.5 million, or $0.04 per diluted share. Adjusted net earnings (Non-GAAP)</w:t>
      </w:r>
      <w:r>
        <w:rPr>
          <w:rFonts w:ascii="Arial Narrow;sans-serif" w:hAnsi="Arial Narrow;sans-serif"/>
          <w:b w:val="false"/>
          <w:color w:val="000000"/>
          <w:sz w:val="14"/>
        </w:rPr>
        <w:t>2</w:t>
      </w:r>
      <w:r>
        <w:rPr>
          <w:color w:val="000000"/>
        </w:rPr>
        <w:t xml:space="preserve"> </w:t>
      </w:r>
      <w:r>
        <w:rPr>
          <w:rFonts w:ascii="Arial Narrow;sans-serif" w:hAnsi="Arial Narrow;sans-serif"/>
          <w:b w:val="false"/>
          <w:color w:val="000000"/>
          <w:sz w:val="22"/>
        </w:rPr>
        <w:t>were $1.1 million, or $0.09 adjusted EPS (Non-GAAP)</w:t>
      </w:r>
      <w:r>
        <w:rPr>
          <w:rFonts w:ascii="Arial Narrow;sans-serif" w:hAnsi="Arial Narrow;sans-serif"/>
          <w:b w:val="false"/>
          <w:color w:val="000000"/>
          <w:sz w:val="14"/>
        </w:rPr>
        <w:t>2</w:t>
      </w:r>
      <w:r>
        <w:rPr>
          <w:rFonts w:ascii="Arial Narrow;sans-serif" w:hAnsi="Arial Narrow;sans-serif"/>
          <w:b w:val="false"/>
          <w:color w:val="000000"/>
          <w:sz w:val="22"/>
        </w:rPr>
        <w:t>.</w:t>
      </w:r>
    </w:p>
    <w:p>
      <w:pPr>
        <w:pStyle w:val="TextBody"/>
        <w:bidi w:val="0"/>
        <w:spacing w:lineRule="auto" w:line="288" w:before="0" w:after="120"/>
        <w:jc w:val="left"/>
        <w:rPr>
          <w:rFonts w:ascii="Arial Narrow;sans-serif" w:hAnsi="Arial Narrow;sans-serif"/>
          <w:b/>
          <w:color w:val="000000"/>
          <w:sz w:val="22"/>
        </w:rPr>
      </w:pPr>
      <w:r>
        <w:rPr>
          <w:rFonts w:ascii="Arial Narrow;sans-serif" w:hAnsi="Arial Narrow;sans-serif"/>
          <w:b/>
          <w:color w:val="000000"/>
          <w:sz w:val="22"/>
        </w:rPr>
        <w:t>Balance Sheet and Cash Flow Review</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Cash and cash equivalents at the end of the second quarter of 2026 totaled $22.1 million, up $6.4 million from the end of the first quarter. During the quarter, we reduced our term debt by $1.0 million from March 31, 2026, and provided $6.3 million from operating activities to invest in working capital. Capital expenditures were $0.4 million in the second quarter of 2026.</w:t>
      </w:r>
    </w:p>
    <w:p>
      <w:pPr>
        <w:pStyle w:val="TextBody"/>
        <w:bidi w:val="0"/>
        <w:spacing w:lineRule="auto" w:line="288" w:before="0" w:after="120"/>
        <w:jc w:val="left"/>
        <w:rPr/>
      </w:pPr>
      <w:r>
        <w:rPr>
          <w:rFonts w:ascii="Arial Narrow;sans-serif" w:hAnsi="Arial Narrow;sans-serif"/>
          <w:b w:val="false"/>
          <w:color w:val="000000"/>
          <w:sz w:val="22"/>
        </w:rPr>
        <w:t>At June 30, 2026, the Company had $30.0 million available under its delayed draw term loan facility and no borrowings under the $10.0 million revolving credit facility.</w:t>
      </w:r>
      <w:r>
        <w:rPr>
          <w:color w:val="000000"/>
        </w:rPr>
        <w:t xml:space="preserve"> </w:t>
      </w:r>
      <w:r>
        <w:rPr>
          <w:rFonts w:ascii="Arial Narrow;sans-serif" w:hAnsi="Arial Narrow;sans-serif"/>
          <w:b w:val="false"/>
          <w:color w:val="000000"/>
          <w:sz w:val="22"/>
        </w:rPr>
        <w:t>On May 4, 2026, we amended the facility, effective as of April 30, 2026, to extend our ability to draw on the Term Note through August 28, 2026. At June 30, 2026, we were in compliance with all of the covenants included in the Loan Agreement.</w:t>
      </w:r>
    </w:p>
    <w:p>
      <w:pPr>
        <w:pStyle w:val="TextBody"/>
        <w:bidi w:val="0"/>
        <w:spacing w:before="120" w:after="120"/>
        <w:jc w:val="left"/>
        <w:rPr/>
      </w:pPr>
      <w:r>
        <w:rPr/>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3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120" w:after="120"/>
        <w:jc w:val="left"/>
        <w:rPr/>
      </w:pPr>
      <w:r>
        <w:rPr>
          <w:rFonts w:ascii="Arial Narrow;sans-serif" w:hAnsi="Arial Narrow;sans-serif"/>
          <w:b/>
          <w:color w:val="000000"/>
          <w:sz w:val="22"/>
        </w:rPr>
        <w:t>Second Quarter 2026 Orders</w:t>
      </w:r>
      <w:r>
        <w:rPr>
          <w:rFonts w:ascii="Arial Narrow;sans-serif" w:hAnsi="Arial Narrow;sans-serif"/>
          <w:b w:val="false"/>
          <w:color w:val="000000"/>
          <w:sz w:val="14"/>
        </w:rPr>
        <w:t>1</w:t>
      </w:r>
      <w:r>
        <w:rPr>
          <w:color w:val="000000"/>
        </w:rPr>
        <w:t xml:space="preserve"> </w:t>
      </w:r>
      <w:r>
        <w:rPr>
          <w:rFonts w:ascii="Arial Narrow;sans-serif" w:hAnsi="Arial Narrow;sans-serif"/>
          <w:b/>
          <w:color w:val="000000"/>
          <w:sz w:val="22"/>
        </w:rPr>
        <w:t>and Backlog</w:t>
      </w:r>
      <w:r>
        <w:rPr>
          <w:rFonts w:ascii="Arial Narrow;sans-serif" w:hAnsi="Arial Narrow;sans-serif"/>
          <w:b w:val="false"/>
          <w:color w:val="000000"/>
          <w:sz w:val="14"/>
        </w:rPr>
        <w:t xml:space="preserve">1 </w:t>
      </w:r>
      <w:r>
        <w:rPr>
          <w:rFonts w:ascii="Arial Narrow;sans-serif" w:hAnsi="Arial Narrow;sans-serif"/>
          <w:b w:val="false"/>
          <w:i/>
          <w:color w:val="000000"/>
          <w:sz w:val="22"/>
        </w:rPr>
        <w:t>(see Orders by Market in accompanying tables)</w:t>
      </w:r>
    </w:p>
    <w:tbl>
      <w:tblPr>
        <w:tblW w:w="10205" w:type="dxa"/>
        <w:jc w:val="left"/>
        <w:tblInd w:w="0" w:type="dxa"/>
        <w:tblLayout w:type="fixed"/>
        <w:tblCellMar>
          <w:top w:w="28" w:type="dxa"/>
          <w:left w:w="28" w:type="dxa"/>
          <w:bottom w:w="28" w:type="dxa"/>
          <w:right w:w="28" w:type="dxa"/>
        </w:tblCellMar>
      </w:tblPr>
      <w:tblGrid>
        <w:gridCol w:w="580"/>
        <w:gridCol w:w="510"/>
        <w:gridCol w:w="51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2"/>
        <w:gridCol w:w="234"/>
        <w:gridCol w:w="271"/>
        <w:gridCol w:w="109"/>
        <w:gridCol w:w="109"/>
        <w:gridCol w:w="109"/>
        <w:gridCol w:w="211"/>
        <w:gridCol w:w="721"/>
        <w:gridCol w:w="109"/>
        <w:gridCol w:w="109"/>
        <w:gridCol w:w="109"/>
        <w:gridCol w:w="109"/>
        <w:gridCol w:w="211"/>
        <w:gridCol w:w="655"/>
        <w:gridCol w:w="109"/>
        <w:gridCol w:w="109"/>
        <w:gridCol w:w="109"/>
        <w:gridCol w:w="109"/>
        <w:gridCol w:w="262"/>
        <w:gridCol w:w="264"/>
        <w:gridCol w:w="342"/>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Change</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i/>
                <w:color w:val="000000"/>
                <w:sz w:val="16"/>
              </w:rPr>
            </w:pPr>
            <w:r>
              <w:rPr>
                <w:rFonts w:ascii="Arial Narrow;sans-serif" w:hAnsi="Arial Narrow;sans-serif"/>
                <w:b/>
                <w:i/>
                <w:color w:val="000000"/>
                <w:sz w:val="16"/>
              </w:rPr>
              <w:t>($ in thousands except percentages)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Orders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28,871 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27,759 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1,112 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4.0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31,785 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(2,914)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(9.2</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color w:val="000000"/>
                <w:sz w:val="22"/>
              </w:rPr>
              <w:t>Backlog</w:t>
            </w:r>
            <w:r>
              <w:rPr>
                <w:color w:val="000000"/>
              </w:rPr>
              <w:t xml:space="preserve"> </w:t>
            </w:r>
            <w:r>
              <w:rPr>
                <w:rFonts w:ascii="Arial Narrow;sans-serif" w:hAnsi="Arial Narrow;sans-serif"/>
                <w:b/>
                <w:i/>
                <w:color w:val="000000"/>
                <w:sz w:val="22"/>
              </w:rPr>
              <w:t>(at quarter end)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45,373 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37,861 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19.8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51,815 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(6,442)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22"/>
              </w:rPr>
            </w:pPr>
            <w:r>
              <w:rPr>
                <w:rFonts w:ascii="Arial Narrow;sans-serif" w:hAnsi="Arial Narrow;sans-serif"/>
                <w:b w:val="false"/>
                <w:color w:val="000000"/>
                <w:sz w:val="22"/>
              </w:rPr>
              <w:t>(12.4</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w:t>
            </w:r>
          </w:p>
        </w:tc>
      </w:tr>
    </w:tbl>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Second quarter orders of $28.9 million decreased sequentially with lower Auto/EV and Defense/Aerospace orders partially offset primarily by increases in Semi and Other. The year-over-year increase of $1.1 million reflects strength primarily in Semi and Defense/Aerospace partially offset primarily by the decline in Auto/EV and Life Sciences.</w:t>
      </w:r>
    </w:p>
    <w:p>
      <w:pPr>
        <w:pStyle w:val="TextBody"/>
        <w:bidi w:val="0"/>
        <w:spacing w:lineRule="auto" w:line="288" w:before="120" w:after="120"/>
        <w:jc w:val="left"/>
        <w:rPr/>
      </w:pPr>
      <w:r>
        <w:rPr>
          <w:rFonts w:ascii="Arial Narrow;sans-serif" w:hAnsi="Arial Narrow;sans-serif"/>
          <w:b w:val="false"/>
          <w:color w:val="000000"/>
          <w:sz w:val="22"/>
        </w:rPr>
        <w:t xml:space="preserve">Backlog at June 30, 2026, was $45.4 million, a decrease of 12.4% from March 31, 2026, but an increase of 19.8% compared to June 30, </w:t>
      </w:r>
      <w:r>
        <w:rPr>
          <w:rFonts w:ascii="Arial Narrow;sans-serif" w:hAnsi="Arial Narrow;sans-serif"/>
          <w:b w:val="false"/>
          <w:color w:val="000000"/>
          <w:sz w:val="20"/>
        </w:rPr>
        <w:t>2025</w:t>
      </w:r>
      <w:r>
        <w:rPr>
          <w:rFonts w:ascii="Arial Narrow;sans-serif" w:hAnsi="Arial Narrow;sans-serif"/>
          <w:b w:val="false"/>
          <w:color w:val="000000"/>
          <w:sz w:val="22"/>
        </w:rPr>
        <w:t>. Approximately 45% of the backlog is expected to ship beyond the third quarter of 2026.</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Third Quarter 2026 and Raised Full Year 2026 Outlook</w:t>
      </w:r>
    </w:p>
    <w:p>
      <w:pPr>
        <w:pStyle w:val="TextBody"/>
        <w:bidi w:val="0"/>
        <w:spacing w:lineRule="auto" w:line="288" w:before="0" w:after="120"/>
        <w:jc w:val="left"/>
        <w:rPr/>
      </w:pPr>
      <w:r>
        <w:rPr>
          <w:rFonts w:ascii="Arial Narrow;sans-serif" w:hAnsi="Arial Narrow;sans-serif"/>
          <w:b w:val="false"/>
          <w:color w:val="000000"/>
          <w:sz w:val="22"/>
        </w:rPr>
        <w:t>Mr. Rogoff concluded, “We are reiterating the full-year 2026 guidance we updated on July 31, which raised our revenue outlook to approximately 21% growth at the midpoint over 2025's $113.8 million, and modestly reduced our gross margin expectation. This outlook reflects diversified demand supported by our backlog, along with improving order flow and product mix in the second half. Above all, our goal is to convert the commercial momentum we are seeing into steadier Adjusted EBITDA</w:t>
      </w:r>
      <w:r>
        <w:rPr>
          <w:rFonts w:ascii="Arial Narrow;sans-serif" w:hAnsi="Arial Narrow;sans-serif"/>
          <w:b w:val="false"/>
          <w:color w:val="000000"/>
          <w:sz w:val="14"/>
        </w:rPr>
        <w:t>2</w:t>
      </w:r>
      <w:r>
        <w:rPr>
          <w:color w:val="000000"/>
        </w:rPr>
        <w:t xml:space="preserve"> </w:t>
      </w:r>
      <w:r>
        <w:rPr>
          <w:rFonts w:ascii="Arial Narrow;sans-serif" w:hAnsi="Arial Narrow;sans-serif"/>
          <w:b w:val="false"/>
          <w:color w:val="000000"/>
          <w:sz w:val="22"/>
        </w:rPr>
        <w:t>growth as we gain operating leverage and continue to scale the business. This is where our focus rests for the balance of the year."</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For the third quarter of 2026, InTest projects revenue to be $33.0 million to $35.0 million, with gross margin of approximately 44%, and operating expenses of $13.8 million to $14.2 million. Amortization expense is expected to be $0.5 million.</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Reflecting its recently revised full-year 2026 financial guidance, the Company expects revenue of $135.0 million to $140.0 million; gross margin of approximately 43%; operating expenses of $55.0 million to $57.0 million; amortization expense of $2.6 million; interest expense of $0.3 million; an effective tax rate of approximately 18%; and capital expenditures estimated at approximately 1% to 2% of revenue.</w:t>
      </w:r>
    </w:p>
    <w:p>
      <w:pPr>
        <w:pStyle w:val="TextBody"/>
        <w:bidi w:val="0"/>
        <w:spacing w:lineRule="auto" w:line="288" w:before="0" w:after="240"/>
        <w:jc w:val="left"/>
        <w:rPr/>
      </w:pPr>
      <w:r>
        <w:rPr>
          <w:rFonts w:ascii="Arial Narrow;sans-serif" w:hAnsi="Arial Narrow;sans-serif"/>
          <w:b w:val="false"/>
          <w:color w:val="000000"/>
          <w:sz w:val="22"/>
        </w:rPr>
        <w:t>The foregoing guidance is based on management’s current views with respect to operating and market conditions and customers’ forecasts. Actual results may differ materially from what is provided here today as a result of, among other things, the factors described under “</w:t>
      </w:r>
      <w:r>
        <w:rPr>
          <w:rFonts w:ascii="Arial Narrow;sans-serif" w:hAnsi="Arial Narrow;sans-serif"/>
          <w:b/>
          <w:color w:val="000000"/>
          <w:sz w:val="22"/>
        </w:rPr>
        <w:t>Forward-Looking Statements</w:t>
      </w:r>
      <w:r>
        <w:rPr>
          <w:color w:val="000000"/>
        </w:rPr>
        <w:t xml:space="preserve">” </w:t>
      </w:r>
      <w:r>
        <w:rPr>
          <w:rFonts w:ascii="Arial Narrow;sans-serif" w:hAnsi="Arial Narrow;sans-serif"/>
          <w:b w:val="false"/>
          <w:color w:val="000000"/>
          <w:sz w:val="22"/>
        </w:rPr>
        <w:t>below.</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Conference Call and Webcast</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The Company will host a conference call and webcast today at 8:30 a.m. ET. During the conference call, management will review the financial and operating results and discuss InTest’s corporate strategy and outlook. A question-and-answer session will follow. To listen to the live call, dial (877) 407-0792 or (201) 689-8263. In addition, the webcast and slide presentation may be found at https://www.intest.com/investor-relations.</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A telephonic replay will be available from 12:30 p.m. ET on the day of the call through Monday, August 24, 2026. To listen to the archived call, dial (844) 512-2921 or (412) 317-6671 and enter replay pin number 113760855. The webcast replay can be accessed via the investor relations section of https://www.intest.com/, where a transcript will also be posted once available.</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About InTest Corporation</w:t>
      </w:r>
    </w:p>
    <w:p>
      <w:pPr>
        <w:pStyle w:val="TextBody"/>
        <w:bidi w:val="0"/>
        <w:spacing w:lineRule="auto" w:line="288" w:before="120" w:after="120"/>
        <w:jc w:val="left"/>
        <w:rPr/>
      </w:pPr>
      <w:r>
        <w:rPr>
          <w:rFonts w:ascii="Arial Narrow;sans-serif" w:hAnsi="Arial Narrow;sans-serif"/>
          <w:b w:val="false"/>
          <w:color w:val="000000"/>
          <w:sz w:val="22"/>
        </w:rPr>
        <w:t>InTest Corporation is a global supplier of innovative test and process technology solutions for use in manufacturing and testing in key target markets including both the front-end and back-end of the semiconductor manufacturing industry (“</w:t>
      </w:r>
      <w:r>
        <w:rPr>
          <w:rFonts w:ascii="Arial Narrow;sans-serif" w:hAnsi="Arial Narrow;sans-serif"/>
          <w:b/>
          <w:color w:val="000000"/>
          <w:sz w:val="22"/>
          <w:u w:val="single"/>
        </w:rPr>
        <w:t>Semi</w:t>
      </w:r>
      <w:r>
        <w:rPr>
          <w:color w:val="000000"/>
        </w:rPr>
        <w:t>”</w:t>
      </w:r>
      <w:r>
        <w:rPr>
          <w:rFonts w:ascii="Arial Narrow;sans-serif" w:hAnsi="Arial Narrow;sans-serif"/>
          <w:b w:val="false"/>
          <w:color w:val="000000"/>
          <w:sz w:val="22"/>
        </w:rPr>
        <w:t>), Automotive/EV, Defense/Aerospace, Industrial, Life Sciences and Safety/Security. Backed by decades of engineering expertise and a culture of operational excellence, InTest solves difficult thermal, mechanical, and electronic challenges for customers worldwide. InTest’s growth strategy leverages these strengths to grow organically and with acquisitions through the addition of innovative technologies, deeper and broader geographic reach, customer penetration and market expansion. For more information, visit https://www.intest.com/.</w:t>
      </w:r>
    </w:p>
    <w:p>
      <w:pPr>
        <w:pStyle w:val="TextBody"/>
        <w:bidi w:val="0"/>
        <w:spacing w:before="120" w:after="120"/>
        <w:jc w:val="left"/>
        <w:rPr/>
      </w:pPr>
      <w:r>
        <w:rPr/>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4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 xml:space="preserve">Non-GAAP Financial Measures </w:t>
      </w:r>
    </w:p>
    <w:p>
      <w:pPr>
        <w:pStyle w:val="TextBody"/>
        <w:bidi w:val="0"/>
        <w:spacing w:lineRule="auto" w:line="288" w:before="120" w:after="120"/>
        <w:jc w:val="left"/>
        <w:rPr/>
      </w:pPr>
      <w:r>
        <w:rPr>
          <w:rFonts w:ascii="Arial Narrow;sans-serif" w:hAnsi="Arial Narrow;sans-serif"/>
          <w:b w:val="false"/>
          <w:color w:val="000000"/>
          <w:sz w:val="22"/>
        </w:rPr>
        <w:t>In addition to disclosing results that are determined in accordance with generally accepted accounting practices in the United States (“</w:t>
      </w:r>
      <w:r>
        <w:rPr>
          <w:rFonts w:ascii="Arial Narrow;sans-serif" w:hAnsi="Arial Narrow;sans-serif"/>
          <w:b/>
          <w:color w:val="000000"/>
          <w:sz w:val="22"/>
          <w:u w:val="single"/>
        </w:rPr>
        <w:t>GAAP</w:t>
      </w:r>
      <w:r>
        <w:rPr>
          <w:color w:val="000000"/>
        </w:rPr>
        <w:t>”</w:t>
      </w:r>
      <w:r>
        <w:rPr>
          <w:rFonts w:ascii="Arial Narrow;sans-serif" w:hAnsi="Arial Narrow;sans-serif"/>
          <w:b w:val="false"/>
          <w:color w:val="000000"/>
          <w:sz w:val="22"/>
        </w:rPr>
        <w:t>), we also disclose non-GAAP financial measures. These non-GAAP financial measures consist of adjusted net earnings (loss), adjusted earnings (loss) per diluted share (“</w:t>
      </w:r>
      <w:r>
        <w:rPr>
          <w:rFonts w:ascii="Arial Narrow;sans-serif" w:hAnsi="Arial Narrow;sans-serif"/>
          <w:b/>
          <w:color w:val="000000"/>
          <w:sz w:val="22"/>
          <w:u w:val="single"/>
        </w:rPr>
        <w:t>adjusted EPS</w:t>
      </w:r>
      <w:r>
        <w:rPr>
          <w:color w:val="000000"/>
        </w:rPr>
        <w:t>”</w:t>
      </w:r>
      <w:r>
        <w:rPr>
          <w:rFonts w:ascii="Arial Narrow;sans-serif" w:hAnsi="Arial Narrow;sans-serif"/>
          <w:b w:val="false"/>
          <w:color w:val="000000"/>
          <w:sz w:val="22"/>
        </w:rPr>
        <w:t>), adjusted EBITDA, and adjusted EBITDA margin.</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The Company defines these non-GAAP measures as follows:</w:t>
      </w:r>
    </w:p>
    <w:p>
      <w:pPr>
        <w:pStyle w:val="TextBody"/>
        <w:bidi w:val="0"/>
        <w:spacing w:lineRule="auto" w:line="288" w:before="120" w:after="120"/>
        <w:ind w:left="0" w:right="0" w:hanging="360"/>
        <w:jc w:val="left"/>
        <w:rPr/>
      </w:pPr>
      <w:r>
        <w:rPr>
          <w:color w:val="000000"/>
        </w:rPr>
        <w:t>─</w:t>
      </w:r>
      <w:r>
        <w:rPr>
          <w:rFonts w:ascii="Arial Narrow;sans-serif" w:hAnsi="Arial Narrow;sans-serif"/>
          <w:b w:val="false"/>
          <w:color w:val="000000"/>
          <w:sz w:val="22"/>
        </w:rPr>
        <w:t>Adjusted net earnings (loss) is derived by adding acquired intangible amortization, restructuring costs, and the tax effect of the adjusting items, to net earnings (loss).</w:t>
      </w:r>
    </w:p>
    <w:p>
      <w:pPr>
        <w:pStyle w:val="TextBody"/>
        <w:bidi w:val="0"/>
        <w:spacing w:lineRule="auto" w:line="288" w:before="120" w:after="120"/>
        <w:ind w:left="0" w:right="0" w:hanging="360"/>
        <w:jc w:val="left"/>
        <w:rPr/>
      </w:pPr>
      <w:r>
        <w:rPr>
          <w:color w:val="000000"/>
        </w:rPr>
        <w:t>─</w:t>
      </w:r>
      <w:r>
        <w:rPr>
          <w:rFonts w:ascii="Arial Narrow;sans-serif" w:hAnsi="Arial Narrow;sans-serif"/>
          <w:b w:val="false"/>
          <w:color w:val="000000"/>
          <w:sz w:val="22"/>
        </w:rPr>
        <w:t>Adjusted earnings (loss) per diluted share is derived by dividing adjusted net earnings (loss) by diluted weighted average shares outstanding.</w:t>
      </w:r>
    </w:p>
    <w:p>
      <w:pPr>
        <w:pStyle w:val="TextBody"/>
        <w:bidi w:val="0"/>
        <w:spacing w:lineRule="auto" w:line="288" w:before="120" w:after="120"/>
        <w:ind w:left="0" w:right="0" w:hanging="360"/>
        <w:jc w:val="left"/>
        <w:rPr/>
      </w:pPr>
      <w:r>
        <w:rPr>
          <w:color w:val="000000"/>
        </w:rPr>
        <w:t>─</w:t>
      </w:r>
      <w:r>
        <w:rPr>
          <w:rFonts w:ascii="Arial Narrow;sans-serif" w:hAnsi="Arial Narrow;sans-serif"/>
          <w:b w:val="false"/>
          <w:color w:val="000000"/>
          <w:sz w:val="22"/>
        </w:rPr>
        <w:t>Adjusted EBITDA is derived by adding acquired intangible amortization, restructuring costs, net interest expense, income tax expense, depreciation, and stock-based compensation expense to net earnings.</w:t>
      </w:r>
    </w:p>
    <w:p>
      <w:pPr>
        <w:pStyle w:val="TextBody"/>
        <w:bidi w:val="0"/>
        <w:spacing w:lineRule="auto" w:line="288" w:before="120" w:after="120"/>
        <w:ind w:left="0" w:right="0" w:hanging="360"/>
        <w:jc w:val="left"/>
        <w:rPr/>
      </w:pPr>
      <w:r>
        <w:rPr>
          <w:color w:val="000000"/>
        </w:rPr>
        <w:t>─</w:t>
      </w:r>
      <w:r>
        <w:rPr>
          <w:rFonts w:ascii="Arial Narrow;sans-serif" w:hAnsi="Arial Narrow;sans-serif"/>
          <w:b w:val="false"/>
          <w:color w:val="000000"/>
          <w:sz w:val="22"/>
        </w:rPr>
        <w:t>Adjusted EBITDA margin is derived by dividing adjusted EBITDA by revenue.</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These results are provided as a complement to the results provided in accordance with GAAP. Adjusted net earnings (loss) and adjusted earnings (loss) per diluted share (“adjusted EPS”) are non-GAAP financial measures presented to provide investors with meaningful, supplemental information regarding our baseline performance before acquired intangible amortization, and restructuring costs as management believes these expenses may not be indicative of our underlying operating performance. Adjusted EBITDA and adjusted EBITDA margin are non-GAAP financial measures presented primarily as a measure of liquidity as they exclude non-cash charges for acquired intangible amortization, depreciation and stock-based compensation. In addition, adjusted EBITDA and adjusted EBITDA margin also exclude the impact of restructuring costs, interest income or expense and income tax expense or benefit, as management believes these expenses may not be indicative of our underlying operating performance.</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Management’s Use of Non-GAAP Measures</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The non-GAAP financial measures presented in this press release are used by management to make operational decisions, to forecast future operational results, and for comparison with our business plan, historical operating results and the operating results of our peers. Reconciliations from net earnings (loss) and earnings (loss) per diluted share (“EPS”) to adjusted net earnings (loss) and adjusted earnings (loss) per diluted share (“adjusted EPS”) and from net earnings (loss) and net margin to adjusted EBITDA and adjusted EBITDA margin, are contained in the tables below.</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Management believes these Non-GAAP financial measures are important in evaluating our performance, results of operations, and financial position. We use non-GAAP financial measures to supplement our GAAP results to provide a more complete understanding of the factors and trends affecting our business. Non-GAAP measures as presented in this press release may differ from and may not be comparable to similarly titled measures used by other companies.</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Key Performance Indicators</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In addition to the foregoing non-GAAP measures, management uses orders and backlog as key performance metrics to analyze and measure the Company’s financial performance and results of operations. Management uses orders and backlog as measures of current and future business and financial performance, and these may not be comparable with measures provided by other companies. Orders represent written communications received from customers requesting the Company to provide products and/or services. Backlog is calculated based on firm purchase orders we receive for which revenue has not yet been recognized. Management believes tracking orders and backlog are useful as they are often leading indicators of future performance. In accordance with industry practice, contracts may include provisions for cancellation, termination, or suspension at the discretion of the customer.</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Given that each of orders and backlog are operational measures and that the Company’s methodology for calculating orders and backlog does not meet the definition of a non-GAAP measure, as that term is defined by the U.S. Securities and Exchange Commission, a quantitative reconciliation for each is not required or provided.</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5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Forward-Looking Statements</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This press release includes forward-looking statements within the meaning of the Private Securities Litigation Reform Act of 1995, as amended. These statements do not convey historical information but relate to predicted or potential future events and financial results, such as statements of the Company’s plans, strategies and intentions, or our future performance or goals, that are based upon management’s current expectations. These forward-looking statements can often be identified by the use of forward-looking terminology such as “believe,” “continue,” “expects,” “goal,” “guidance,” “may,” “outlook,” “will,” “plan,” “potential,” “strategy,” “target,” “estimated,” or similar terminology. These statements are subject to risks and uncertainties that could cause actual results to differ materially from those expressed or implied by such statements. Such risks and uncertainties include, but are not limited to, any mentioned in this press release as well as the impact of a material weakness in the Company’s internal controls over financial reporting; the Company’s ability to execute on its VISION 2030 Strategy; realize the potential benefits of acquisitions and successfully integrate any acquired operations; grow the Company’s presence in its key target and international markets; manage supply chain challenges; convert backlog to sales and to ship product in a timely manner; the success of the Company’s strategy to diversify its markets; the impact of inflation on the Company’s business and financial condition; indications of a change in the market cycles in the semi market or other markets served; changes in business conditions and general economic conditions both domestically and globally including changes in U.S. and/or foreign trade policy, rising interest rates and fluctuation in foreign currency exchange rates; changes in the demand for semiconductors; access to capital and the ability to borrow funds or raise capital to finance potential acquisitions or for working capital; changes in the rates and timing of capital expenditures by the Company’s customers; and other risk factors set forth from time to time in the Company’s Securities and Exchange Commission filings, including, but not limited to, the Annual Report on Form 10-K for the year ended December 31, 2025, and any subsequent Quarterly Reports on Form 10-Q. Any forward-looking statement made by the Company in this press release is based only on information currently available to management and speaks to circumstances only as of the date on which it is made. The Company undertakes no obligation to update the information in this press release to reflect events or circumstances after the date hereof or to reflect the occurrence of anticipated or unanticipated events, except as required by law.</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Contacts:</w:t>
      </w:r>
    </w:p>
    <w:tbl>
      <w:tblPr>
        <w:tblW w:w="5984" w:type="dxa"/>
        <w:jc w:val="left"/>
        <w:tblInd w:w="0" w:type="dxa"/>
        <w:tblLayout w:type="fixed"/>
        <w:tblCellMar>
          <w:top w:w="28" w:type="dxa"/>
          <w:left w:w="28" w:type="dxa"/>
          <w:bottom w:w="28" w:type="dxa"/>
          <w:right w:w="28" w:type="dxa"/>
        </w:tblCellMar>
      </w:tblPr>
      <w:tblGrid>
        <w:gridCol w:w="1146"/>
        <w:gridCol w:w="1007"/>
        <w:gridCol w:w="1012"/>
        <w:gridCol w:w="825"/>
        <w:gridCol w:w="825"/>
        <w:gridCol w:w="1169"/>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InTest Corporation</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Investors:</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Duncan Gilmour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Jody Burfening / Sanjay M. Hurry</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Chief Financial Officer and Treasurer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Alliance Advisors IR</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(856) 505-8999</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INTTIR@allianceadvisors.com</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(212) 838-3777</w:t>
            </w:r>
          </w:p>
        </w:tc>
      </w:tr>
    </w:tbl>
    <w:p>
      <w:pPr>
        <w:pStyle w:val="TextBody"/>
        <w:bidi w:val="0"/>
        <w:spacing w:before="20" w:after="120"/>
        <w:jc w:val="center"/>
        <w:rPr/>
      </w:pPr>
      <w:r>
        <w:rPr/>
      </w:r>
    </w:p>
    <w:p>
      <w:pPr>
        <w:pStyle w:val="TextBody"/>
        <w:bidi w:val="0"/>
        <w:spacing w:lineRule="auto" w:line="288" w:before="120" w:after="120"/>
        <w:jc w:val="center"/>
        <w:rPr>
          <w:color w:val="000000"/>
        </w:rPr>
      </w:pPr>
      <w:r>
        <w:rPr>
          <w:color w:val="000000"/>
        </w:rPr>
        <w:t xml:space="preserve">– </w:t>
      </w:r>
      <w:r>
        <w:rPr>
          <w:rFonts w:ascii="Arial Narrow;sans-serif" w:hAnsi="Arial Narrow;sans-serif"/>
          <w:b w:val="false"/>
          <w:color w:val="000000"/>
          <w:sz w:val="22"/>
        </w:rPr>
        <w:t>FINANCIAL TABLES FOLLOW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6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9870" w:type="dxa"/>
        <w:jc w:val="center"/>
        <w:tblInd w:w="0" w:type="dxa"/>
        <w:tblLayout w:type="fixed"/>
        <w:tblCellMar>
          <w:top w:w="28" w:type="dxa"/>
          <w:left w:w="28" w:type="dxa"/>
          <w:bottom w:w="28" w:type="dxa"/>
          <w:right w:w="28" w:type="dxa"/>
        </w:tblCellMar>
      </w:tblPr>
      <w:tblGrid>
        <w:gridCol w:w="1653"/>
        <w:gridCol w:w="1451"/>
        <w:gridCol w:w="145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35,313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28,130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69,199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54,767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(loss) before income tax benefit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12,314,633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12,284,334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12,582,221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7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23"/>
        <w:gridCol w:w="2313"/>
        <w:gridCol w:w="2324"/>
        <w:gridCol w:w="196"/>
        <w:gridCol w:w="751"/>
        <w:gridCol w:w="109"/>
        <w:gridCol w:w="109"/>
        <w:gridCol w:w="109"/>
        <w:gridCol w:w="109"/>
        <w:gridCol w:w="206"/>
        <w:gridCol w:w="791"/>
        <w:gridCol w:w="165"/>
      </w:tblGrid>
      <w:tr>
        <w:trPr/>
        <w:tc>
          <w:tcPr>
            <w:tcW w:w="302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$338 and $375,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78,638 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$10,577 and $10,083, respectively</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149,105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Domestic and foreign income taxes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35,755 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47,690</w:t>
            </w: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 shares authorized; 12,912,071 and 12,570,865 shares issued, respectively; 12,825,786 and 12,488,788 shares outstanding,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Treasury stock, at cost; 86,285 and 82,077 shares,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107,697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149,105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8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7779" w:type="dxa"/>
        <w:jc w:val="left"/>
        <w:tblInd w:w="0" w:type="dxa"/>
        <w:tblLayout w:type="fixed"/>
        <w:tblCellMar>
          <w:top w:w="28" w:type="dxa"/>
          <w:left w:w="28" w:type="dxa"/>
          <w:bottom w:w="28" w:type="dxa"/>
          <w:right w:w="28" w:type="dxa"/>
        </w:tblCellMar>
      </w:tblPr>
      <w:tblGrid>
        <w:gridCol w:w="2046"/>
        <w:gridCol w:w="1795"/>
        <w:gridCol w:w="1814"/>
        <w:gridCol w:w="181"/>
        <w:gridCol w:w="586"/>
        <w:gridCol w:w="109"/>
        <w:gridCol w:w="109"/>
        <w:gridCol w:w="109"/>
        <w:gridCol w:w="109"/>
        <w:gridCol w:w="181"/>
        <w:gridCol w:w="58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earnings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earnings (loss) to net cash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3,004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4,847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(1,049)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(691)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 net of repayments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(5,602)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(used in) all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22,102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19,248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(receipts) payments for: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net of receipts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9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Revenue by Market</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3319" w:type="dxa"/>
        <w:jc w:val="left"/>
        <w:tblInd w:w="0" w:type="dxa"/>
        <w:tblLayout w:type="fixed"/>
        <w:tblCellMar>
          <w:top w:w="28" w:type="dxa"/>
          <w:left w:w="28" w:type="dxa"/>
          <w:bottom w:w="28" w:type="dxa"/>
          <w:right w:w="28" w:type="dxa"/>
        </w:tblCellMar>
      </w:tblPr>
      <w:tblGrid>
        <w:gridCol w:w="383"/>
        <w:gridCol w:w="311"/>
        <w:gridCol w:w="312"/>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31"/>
        <w:gridCol w:w="109"/>
        <w:gridCol w:w="109"/>
        <w:gridCol w:w="109"/>
        <w:gridCol w:w="109"/>
        <w:gridCol w:w="285"/>
        <w:gridCol w:w="286"/>
        <w:gridCol w:w="271"/>
        <w:gridCol w:w="109"/>
        <w:gridCol w:w="109"/>
        <w:gridCol w:w="109"/>
        <w:gridCol w:w="211"/>
        <w:gridCol w:w="721"/>
        <w:gridCol w:w="109"/>
        <w:gridCol w:w="109"/>
        <w:gridCol w:w="109"/>
        <w:gridCol w:w="109"/>
        <w:gridCol w:w="307"/>
        <w:gridCol w:w="309"/>
        <w:gridCol w:w="271"/>
        <w:gridCol w:w="109"/>
        <w:gridCol w:w="109"/>
        <w:gridCol w:w="109"/>
        <w:gridCol w:w="211"/>
        <w:gridCol w:w="631"/>
        <w:gridCol w:w="109"/>
        <w:gridCol w:w="109"/>
        <w:gridCol w:w="109"/>
        <w:gridCol w:w="109"/>
        <w:gridCol w:w="263"/>
        <w:gridCol w:w="263"/>
        <w:gridCol w:w="316"/>
      </w:tblGrid>
      <w:tr>
        <w:trPr/>
        <w:tc>
          <w:tcPr>
            <w:tcW w:w="3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2313" w:type="dxa"/>
            <w:gridSpan w:val="5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Semi</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Auto/EV</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Defense/Aerospace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Life Sciences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Safety/Security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 Components may not add up to total due to rounding</w: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Orders by Market</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3259" w:type="dxa"/>
        <w:jc w:val="left"/>
        <w:tblInd w:w="0" w:type="dxa"/>
        <w:tblLayout w:type="fixed"/>
        <w:tblCellMar>
          <w:top w:w="28" w:type="dxa"/>
          <w:left w:w="28" w:type="dxa"/>
          <w:bottom w:w="28" w:type="dxa"/>
          <w:right w:w="28" w:type="dxa"/>
        </w:tblCellMar>
      </w:tblPr>
      <w:tblGrid>
        <w:gridCol w:w="383"/>
        <w:gridCol w:w="311"/>
        <w:gridCol w:w="312"/>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16"/>
        <w:gridCol w:w="109"/>
        <w:gridCol w:w="109"/>
        <w:gridCol w:w="109"/>
        <w:gridCol w:w="109"/>
        <w:gridCol w:w="263"/>
        <w:gridCol w:w="263"/>
        <w:gridCol w:w="271"/>
        <w:gridCol w:w="109"/>
        <w:gridCol w:w="109"/>
        <w:gridCol w:w="109"/>
        <w:gridCol w:w="211"/>
        <w:gridCol w:w="721"/>
        <w:gridCol w:w="109"/>
        <w:gridCol w:w="109"/>
        <w:gridCol w:w="109"/>
        <w:gridCol w:w="109"/>
        <w:gridCol w:w="307"/>
        <w:gridCol w:w="309"/>
        <w:gridCol w:w="271"/>
        <w:gridCol w:w="109"/>
        <w:gridCol w:w="109"/>
        <w:gridCol w:w="109"/>
        <w:gridCol w:w="211"/>
        <w:gridCol w:w="631"/>
        <w:gridCol w:w="109"/>
        <w:gridCol w:w="109"/>
        <w:gridCol w:w="109"/>
        <w:gridCol w:w="109"/>
        <w:gridCol w:w="263"/>
        <w:gridCol w:w="263"/>
        <w:gridCol w:w="316"/>
      </w:tblGrid>
      <w:tr>
        <w:trPr/>
        <w:tc>
          <w:tcPr>
            <w:tcW w:w="3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2253" w:type="dxa"/>
            <w:gridSpan w:val="5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Orders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Semi</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Auto/EV</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Defense/Aerospace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Life Sciences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Safety/Security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28,871 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jc w:val="left"/>
        <w:rPr>
          <w:rFonts w:ascii="Arial;sans-serif" w:hAnsi="Arial;sans-serif"/>
          <w:b w:val="false"/>
          <w:i/>
          <w:color w:val="000000"/>
          <w:sz w:val="16"/>
        </w:rPr>
      </w:pPr>
      <w:r>
        <w:rPr>
          <w:rFonts w:ascii="Arial;sans-serif" w:hAnsi="Arial;sans-serif"/>
          <w:b w:val="false"/>
          <w:i/>
          <w:color w:val="000000"/>
          <w:sz w:val="16"/>
        </w:rPr>
        <w:t>* Components may not add up to total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10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Segment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13"/>
        <w:gridCol w:w="681"/>
        <w:gridCol w:w="682"/>
        <w:gridCol w:w="240"/>
        <w:gridCol w:w="822"/>
        <w:gridCol w:w="124"/>
        <w:gridCol w:w="109"/>
        <w:gridCol w:w="109"/>
        <w:gridCol w:w="109"/>
        <w:gridCol w:w="414"/>
        <w:gridCol w:w="1211"/>
        <w:gridCol w:w="215"/>
        <w:gridCol w:w="109"/>
        <w:gridCol w:w="109"/>
        <w:gridCol w:w="109"/>
        <w:gridCol w:w="280"/>
        <w:gridCol w:w="820"/>
        <w:gridCol w:w="146"/>
        <w:gridCol w:w="109"/>
        <w:gridCol w:w="109"/>
        <w:gridCol w:w="109"/>
        <w:gridCol w:w="227"/>
        <w:gridCol w:w="723"/>
        <w:gridCol w:w="117"/>
        <w:gridCol w:w="109"/>
        <w:gridCol w:w="109"/>
        <w:gridCol w:w="109"/>
        <w:gridCol w:w="247"/>
        <w:gridCol w:w="847"/>
        <w:gridCol w:w="188"/>
      </w:tblGrid>
      <w:tr>
        <w:trPr/>
        <w:tc>
          <w:tcPr>
            <w:tcW w:w="9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2026</w:t>
            </w:r>
          </w:p>
        </w:tc>
      </w:tr>
      <w:tr>
        <w:trPr/>
        <w:tc>
          <w:tcPr>
            <w:tcW w:w="2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5,819 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35,313 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3,781</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(568)</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381</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3,594</w:t>
            </w:r>
            <w:r>
              <w:rPr>
                <w:color w:val="000000"/>
              </w:rPr>
              <w:t>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3,781</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(568)</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381</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(3,231)</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363</w:t>
            </w:r>
            <w:r>
              <w:rPr>
                <w:color w:val="000000"/>
              </w:rPr>
              <w:t>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3,781</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1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(568)</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381</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(3,345)</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249</w:t>
            </w:r>
            <w:r>
              <w:rPr>
                <w:color w:val="000000"/>
              </w:rPr>
              <w:t>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7"/>
        <w:gridCol w:w="683"/>
        <w:gridCol w:w="684"/>
        <w:gridCol w:w="240"/>
        <w:gridCol w:w="821"/>
        <w:gridCol w:w="124"/>
        <w:gridCol w:w="109"/>
        <w:gridCol w:w="109"/>
        <w:gridCol w:w="109"/>
        <w:gridCol w:w="413"/>
        <w:gridCol w:w="1208"/>
        <w:gridCol w:w="214"/>
        <w:gridCol w:w="109"/>
        <w:gridCol w:w="109"/>
        <w:gridCol w:w="109"/>
        <w:gridCol w:w="280"/>
        <w:gridCol w:w="820"/>
        <w:gridCol w:w="146"/>
        <w:gridCol w:w="109"/>
        <w:gridCol w:w="109"/>
        <w:gridCol w:w="109"/>
        <w:gridCol w:w="226"/>
        <w:gridCol w:w="723"/>
        <w:gridCol w:w="117"/>
        <w:gridCol w:w="109"/>
        <w:gridCol w:w="109"/>
        <w:gridCol w:w="109"/>
        <w:gridCol w:w="247"/>
        <w:gridCol w:w="847"/>
        <w:gridCol w:w="187"/>
      </w:tblGrid>
      <w:tr>
        <w:trPr/>
        <w:tc>
          <w:tcPr>
            <w:tcW w:w="91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1"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2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13,733 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7,215 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1,560</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611</w:t>
            </w: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399</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2,570</w:t>
            </w:r>
            <w:r>
              <w:rPr>
                <w:color w:val="000000"/>
              </w:rPr>
              <w:t>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1,560</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611</w:t>
            </w: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399</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(3,497)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(927)</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expense</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1,560</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611</w:t>
            </w:r>
            <w:r>
              <w:rPr>
                <w:color w:val="000000"/>
              </w:rPr>
              <w:t>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i/>
                <w:color w:val="000000"/>
                <w:sz w:val="18"/>
              </w:rPr>
              <w:t>399</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(3,153)</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18"/>
              </w:rPr>
            </w:pPr>
            <w:r>
              <w:rPr>
                <w:rFonts w:ascii="Arial;sans-serif" w:hAnsi="Arial;sans-serif"/>
                <w:b/>
                <w:i/>
                <w:color w:val="000000"/>
                <w:sz w:val="18"/>
              </w:rPr>
              <w:t>(583)</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11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tbl>
      <w:tblPr>
        <w:tblW w:w="10205" w:type="dxa"/>
        <w:jc w:val="left"/>
        <w:tblInd w:w="0" w:type="dxa"/>
        <w:tblLayout w:type="fixed"/>
        <w:tblCellMar>
          <w:top w:w="28" w:type="dxa"/>
          <w:left w:w="28" w:type="dxa"/>
          <w:bottom w:w="28" w:type="dxa"/>
          <w:right w:w="28" w:type="dxa"/>
        </w:tblCellMar>
      </w:tblPr>
      <w:tblGrid>
        <w:gridCol w:w="1141"/>
        <w:gridCol w:w="876"/>
        <w:gridCol w:w="872"/>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30"/>
        <w:gridCol w:w="743"/>
        <w:gridCol w:w="118"/>
        <w:gridCol w:w="109"/>
        <w:gridCol w:w="109"/>
        <w:gridCol w:w="109"/>
        <w:gridCol w:w="247"/>
        <w:gridCol w:w="847"/>
        <w:gridCol w:w="185"/>
      </w:tblGrid>
      <w:tr>
        <w:trPr/>
        <w:tc>
          <w:tcPr>
            <w:tcW w:w="114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14,170 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16,284 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69,199 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7,553</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(6,986)</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567</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(7,077)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476</w:t>
            </w: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190"/>
        <w:gridCol w:w="865"/>
        <w:gridCol w:w="860"/>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6"/>
        <w:gridCol w:w="723"/>
        <w:gridCol w:w="116"/>
        <w:gridCol w:w="109"/>
        <w:gridCol w:w="109"/>
        <w:gridCol w:w="109"/>
        <w:gridCol w:w="247"/>
        <w:gridCol w:w="847"/>
        <w:gridCol w:w="185"/>
      </w:tblGrid>
      <w:tr>
        <w:trPr/>
        <w:tc>
          <w:tcPr>
            <w:tcW w:w="11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13,483 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14,292 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54,767 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3,203</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(7,011)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(3,808)</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(6,575)</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(3,372)</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InTest Reports Second Quarter 2026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-MORE-</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12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August 10,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 of Net Earnings (Loss) to Adjusted Net Earnings (Loss) (Non-GAAP) and Earnings (Loss) Per Diluted Share to Adjusted EPS (Non-GAAP):</w:t>
      </w:r>
    </w:p>
    <w:tbl>
      <w:tblPr>
        <w:tblW w:w="8016" w:type="dxa"/>
        <w:jc w:val="left"/>
        <w:tblInd w:w="0" w:type="dxa"/>
        <w:tblLayout w:type="fixed"/>
        <w:tblCellMar>
          <w:top w:w="28" w:type="dxa"/>
          <w:left w:w="28" w:type="dxa"/>
          <w:bottom w:w="28" w:type="dxa"/>
          <w:right w:w="28" w:type="dxa"/>
        </w:tblCellMar>
      </w:tblPr>
      <w:tblGrid>
        <w:gridCol w:w="1601"/>
        <w:gridCol w:w="1409"/>
        <w:gridCol w:w="1415"/>
        <w:gridCol w:w="211"/>
        <w:gridCol w:w="646"/>
        <w:gridCol w:w="109"/>
        <w:gridCol w:w="109"/>
        <w:gridCol w:w="109"/>
        <w:gridCol w:w="109"/>
        <w:gridCol w:w="211"/>
        <w:gridCol w:w="601"/>
        <w:gridCol w:w="109"/>
        <w:gridCol w:w="109"/>
        <w:gridCol w:w="109"/>
        <w:gridCol w:w="109"/>
        <w:gridCol w:w="219"/>
        <w:gridCol w:w="671"/>
        <w:gridCol w:w="160"/>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amounts)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2026</w:t>
            </w:r>
            <w:r>
              <w:rPr>
                <w:color w:val="000000"/>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effect of adjusting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Adjusted net earnings (loss) (Non-GAAP)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1,412</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9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12,421</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net earnings (loss) per diluted share: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effect of adjusting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Adjusted EPS (Non-GAAP)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0.11</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 Components may not add up to total due to rounding</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6"/>
        </w:rPr>
        <w:t>March 31, 2026 as revised</w: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Reconciliation of Net Earnings (Loss) and Net Margin to Adjusted EBITDA (Non-GAAP) and Adjusted EBITDA Margin (Non-GAAP):</w:t>
      </w:r>
    </w:p>
    <w:tbl>
      <w:tblPr>
        <w:tblW w:w="8117" w:type="dxa"/>
        <w:jc w:val="left"/>
        <w:tblInd w:w="0" w:type="dxa"/>
        <w:tblLayout w:type="fixed"/>
        <w:tblCellMar>
          <w:top w:w="28" w:type="dxa"/>
          <w:left w:w="28" w:type="dxa"/>
          <w:bottom w:w="28" w:type="dxa"/>
          <w:right w:w="28" w:type="dxa"/>
        </w:tblCellMar>
      </w:tblPr>
      <w:tblGrid>
        <w:gridCol w:w="1308"/>
        <w:gridCol w:w="1149"/>
        <w:gridCol w:w="1157"/>
        <w:gridCol w:w="211"/>
        <w:gridCol w:w="751"/>
        <w:gridCol w:w="286"/>
        <w:gridCol w:w="109"/>
        <w:gridCol w:w="109"/>
        <w:gridCol w:w="109"/>
        <w:gridCol w:w="211"/>
        <w:gridCol w:w="751"/>
        <w:gridCol w:w="346"/>
        <w:gridCol w:w="109"/>
        <w:gridCol w:w="109"/>
        <w:gridCol w:w="109"/>
        <w:gridCol w:w="211"/>
        <w:gridCol w:w="751"/>
        <w:gridCol w:w="331"/>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 data)</w:t>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2026</w:t>
            </w:r>
            <w:r>
              <w:rPr>
                <w:color w:val="00000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(503)</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interest (income)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Adjusted EBITDA (Non-GAAP)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2,192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1,262</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2,415</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3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3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 margin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4.5</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ind w:left="0" w:right="0" w:firstLine="720"/>
        <w:jc w:val="left"/>
        <w:rPr>
          <w:color w:val="000000"/>
        </w:rPr>
      </w:pPr>
      <w:r>
        <w:rPr>
          <w:color w:val="000000"/>
        </w:rPr>
        <w:t xml:space="preserve">† </w:t>
      </w:r>
      <w:r>
        <w:rPr>
          <w:rFonts w:ascii="Arial;sans-serif" w:hAnsi="Arial;sans-serif"/>
          <w:b w:val="false"/>
          <w:color w:val="000000"/>
          <w:sz w:val="16"/>
        </w:rPr>
        <w:t>March 31, 2026 as revised</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5082</Words>
  <Characters>27842</Characters>
  <CharactersWithSpaces>31997</CharactersWithSpaces>
  <Paragraphs>1487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