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ABRAMS STEVEN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INTEST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804 EAST GATE DR,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MT. LAUREL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6"/>
        <w:gridCol w:w="918"/>
        <w:gridCol w:w="786"/>
        <w:gridCol w:w="610"/>
        <w:gridCol w:w="350"/>
        <w:gridCol w:w="846"/>
        <w:gridCol w:w="450"/>
        <w:gridCol w:w="616"/>
        <w:gridCol w:w="1163"/>
        <w:gridCol w:w="999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Steven J. Abrams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5, 2026, the reporting person transferred 3,000 shares of InTest Corporation common stock to a family trust for no consideration. The reporting person and his spouse are co-trustees of the trust. The reporting person remains the beneficial owner of the shares of common stock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Duncan Gilmour, Attorney-in-Fact for Steven J. Abrams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5893" TargetMode="External"/><Relationship Id="rId5" Type="http://schemas.openxmlformats.org/officeDocument/2006/relationships/hyperlink" Target="http://www.sec.gov/cgi-bin/browse-edgar?action=getcompany&amp;CIK=000103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3384</Characters>
  <CharactersWithSpaces>3943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