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As filed with the U.S. Securities and Exchange Commission on September 2, 2026</w:t>
      </w:r>
    </w:p>
    <w:tbl>
      <w:tblPr>
        <w:tblW w:w="3449" w:type="dxa"/>
        <w:jc w:val="left"/>
        <w:tblInd w:w="0" w:type="dxa"/>
        <w:tblLayout w:type="fixed"/>
        <w:tblCellMar>
          <w:top w:w="28" w:type="dxa"/>
          <w:left w:w="28" w:type="dxa"/>
          <w:bottom w:w="28" w:type="dxa"/>
          <w:right w:w="28" w:type="dxa"/>
        </w:tblCellMar>
      </w:tblPr>
      <w:tblGrid>
        <w:gridCol w:w="1104"/>
        <w:gridCol w:w="971"/>
        <w:gridCol w:w="1374"/>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bottom w:val="double" w:sz="5" w:space="0" w:color="000000"/>
            </w:tcBorders>
            <w:tcMar>
              <w:top w:w="0" w:type="dxa"/>
              <w:left w:w="0" w:type="dxa"/>
              <w:bottom w:w="30" w:type="dxa"/>
              <w:right w:w="0" w:type="dxa"/>
            </w:tcMar>
            <w:vAlign w:val="center"/>
          </w:tcPr>
          <w:p>
            <w:pPr>
              <w:pStyle w:val="TableContents"/>
              <w:bidi w:val="0"/>
              <w:spacing w:lineRule="auto" w:line="333" w:before="0" w:after="30"/>
              <w:jc w:val="right"/>
              <w:rPr>
                <w:rFonts w:ascii="Arial;sans-serif" w:hAnsi="Arial;sans-serif"/>
                <w:b/>
                <w:color w:val="000000"/>
                <w:sz w:val="22"/>
              </w:rPr>
            </w:pPr>
            <w:r>
              <w:rPr>
                <w:rFonts w:ascii="Arial;sans-serif" w:hAnsi="Arial;sans-serif"/>
                <w:b/>
                <w:color w:val="000000"/>
                <w:sz w:val="22"/>
              </w:rPr>
              <w:t>Registration No. 333-_________</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100" w:after="283"/>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lineRule="auto" w:line="288" w:before="100" w:after="283"/>
        <w:jc w:val="center"/>
        <w:rPr>
          <w:rFonts w:ascii="Arial;sans-serif" w:hAnsi="Arial;sans-serif"/>
          <w:b/>
          <w:color w:val="000000"/>
          <w:sz w:val="28"/>
        </w:rPr>
      </w:pPr>
      <w:r>
        <w:rPr>
          <w:rFonts w:ascii="Arial;sans-serif" w:hAnsi="Arial;sans-serif"/>
          <w:b/>
          <w:color w:val="000000"/>
          <w:sz w:val="28"/>
        </w:rPr>
        <w:t>FORM S-8</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REGISTRATION STATEMENT UNDER THE SECURITIES ACT OF 1933</w:t>
      </w:r>
    </w:p>
    <w:p>
      <w:pPr>
        <w:pStyle w:val="TextBody"/>
        <w:bidi w:val="0"/>
        <w:spacing w:lineRule="auto" w:line="288" w:before="10" w:after="1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InTest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before="0" w:after="0"/>
        <w:jc w:val="left"/>
        <w:rPr/>
      </w:pPr>
      <w:r>
        <w:rPr/>
      </w:r>
    </w:p>
    <w:tbl>
      <w:tblPr>
        <w:tblW w:w="8666" w:type="dxa"/>
        <w:jc w:val="left"/>
        <w:tblInd w:w="0" w:type="dxa"/>
        <w:tblLayout w:type="fixed"/>
        <w:tblCellMar>
          <w:top w:w="28" w:type="dxa"/>
          <w:left w:w="28" w:type="dxa"/>
          <w:bottom w:w="28" w:type="dxa"/>
          <w:right w:w="28" w:type="dxa"/>
        </w:tblCellMar>
      </w:tblPr>
      <w:tblGrid>
        <w:gridCol w:w="1860"/>
        <w:gridCol w:w="1634"/>
        <w:gridCol w:w="1651"/>
        <w:gridCol w:w="109"/>
        <w:gridCol w:w="109"/>
        <w:gridCol w:w="109"/>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22-2370659</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333" w:before="53" w:after="283"/>
              <w:jc w:val="center"/>
              <w:rPr>
                <w:rFonts w:ascii="Arial;sans-serif" w:hAnsi="Arial;sans-serif"/>
                <w:b/>
                <w:color w:val="000000"/>
                <w:sz w:val="20"/>
              </w:rPr>
            </w:pPr>
            <w:r>
              <w:rPr>
                <w:rFonts w:ascii="Arial;sans-serif" w:hAnsi="Arial;sans-serif"/>
                <w:b/>
                <w:color w:val="000000"/>
                <w:sz w:val="20"/>
              </w:rPr>
              <w:t>804 East Gate Drive, Suite 200</w:t>
            </w:r>
          </w:p>
          <w:p>
            <w:pPr>
              <w:pStyle w:val="TableContents"/>
              <w:bidi w:val="0"/>
              <w:spacing w:lineRule="auto" w:line="333" w:before="0" w:after="30"/>
              <w:jc w:val="center"/>
              <w:rPr>
                <w:rFonts w:ascii="Arial;sans-serif" w:hAnsi="Arial;sans-serif"/>
                <w:b/>
                <w:color w:val="000000"/>
                <w:sz w:val="20"/>
              </w:rPr>
            </w:pPr>
            <w:r>
              <w:rPr>
                <w:rFonts w:ascii="Arial;sans-serif" w:hAnsi="Arial;sans-serif"/>
                <w:b/>
                <w:color w:val="000000"/>
                <w:sz w:val="20"/>
              </w:rPr>
              <w:t>Mt. Laurel, New Jersey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08054</w:t>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120" w:after="283"/>
        <w:jc w:val="center"/>
        <w:rPr>
          <w:rFonts w:ascii="Arial;sans-serif" w:hAnsi="Arial;sans-serif"/>
          <w:b/>
          <w:color w:val="000000"/>
          <w:sz w:val="28"/>
        </w:rPr>
      </w:pPr>
      <w:r>
        <w:rPr>
          <w:rFonts w:ascii="Arial;sans-serif" w:hAnsi="Arial;sans-serif"/>
          <w:b/>
          <w:color w:val="000000"/>
          <w:sz w:val="28"/>
        </w:rPr>
        <w:t>INTEST CORPORATION 2023 STOCK INCENTIVE PLAN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(Full title of the plan)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Duncan Gilmour</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Chief Financial Officer, Treasurer and Secretary</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InTest Corporation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804 East Gate Drive, Suite 200</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Mt. Laurel, New Jersey 08054</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(856) 505-8800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(Name, address, and telephone number, including area code, of agent for service)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lineRule="auto" w:line="288" w:before="0" w:after="0"/>
        <w:jc w:val="center"/>
        <w:rPr>
          <w:rFonts w:ascii="Arial;sans-serif" w:hAnsi="Arial;sans-serif"/>
          <w:b w:val="false"/>
          <w:i/>
          <w:color w:val="000000"/>
          <w:sz w:val="22"/>
        </w:rPr>
      </w:pPr>
      <w:r>
        <w:rPr>
          <w:rFonts w:ascii="Arial;sans-serif" w:hAnsi="Arial;sans-serif"/>
          <w:b w:val="false"/>
          <w:i/>
          <w:color w:val="000000"/>
          <w:sz w:val="22"/>
        </w:rPr>
        <w:t>Copy of all communications to:</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Alexander R. McClean, Esq.</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 Christopher Murillo, Esq.</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Harter Secrest &amp; Emery LLP</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1600 Bausch &amp; Lomb Place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Rochester, NY 14604 (858) 231-1396</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_________________________________</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2"/>
        </w:rPr>
      </w:pPr>
      <w:r>
        <w:rPr>
          <w:rFonts w:ascii="Arial;sans-serif" w:hAnsi="Arial;sans-serif"/>
          <w:b/>
          <w:color w:val="000000"/>
          <w:sz w:val="22"/>
        </w:rPr>
        <w:t>EXPLANATORY NOTE</w:t>
      </w:r>
    </w:p>
    <w:p>
      <w:pPr>
        <w:pStyle w:val="TextBody"/>
        <w:bidi w:val="0"/>
        <w:spacing w:lineRule="auto" w:line="288" w:before="0" w:after="200"/>
        <w:ind w:left="0" w:right="0" w:firstLine="720"/>
        <w:jc w:val="both"/>
        <w:rPr/>
      </w:pPr>
      <w:r>
        <w:rPr>
          <w:rFonts w:ascii="Arial;sans-serif" w:hAnsi="Arial;sans-serif"/>
          <w:b w:val="false"/>
          <w:color w:val="000000"/>
          <w:sz w:val="22"/>
        </w:rPr>
        <w:t>This Registration Statement on Form S-8 (this “</w:t>
      </w:r>
      <w:r>
        <w:rPr>
          <w:rFonts w:ascii="Arial;sans-serif" w:hAnsi="Arial;sans-serif"/>
          <w:b/>
          <w:color w:val="000000"/>
          <w:sz w:val="22"/>
          <w:u w:val="single"/>
        </w:rPr>
        <w:t>Registration Statement</w:t>
      </w:r>
      <w:r>
        <w:rPr>
          <w:color w:val="000000"/>
        </w:rPr>
        <w:t>”</w:t>
      </w:r>
      <w:r>
        <w:rPr>
          <w:rFonts w:ascii="Arial;sans-serif" w:hAnsi="Arial;sans-serif"/>
          <w:b w:val="false"/>
          <w:color w:val="000000"/>
          <w:sz w:val="22"/>
        </w:rPr>
        <w:t>) is being filed by InTest Corporation, a Delaware corporation (the “</w:t>
      </w:r>
      <w:r>
        <w:rPr>
          <w:rFonts w:ascii="Arial;sans-serif" w:hAnsi="Arial;sans-serif"/>
          <w:b/>
          <w:color w:val="000000"/>
          <w:sz w:val="22"/>
          <w:u w:val="single"/>
        </w:rPr>
        <w:t>Registrant</w:t>
      </w:r>
      <w:r>
        <w:rPr>
          <w:color w:val="000000"/>
        </w:rPr>
        <w:t xml:space="preserve">” </w:t>
      </w:r>
      <w:r>
        <w:rPr>
          <w:rFonts w:ascii="Arial;sans-serif" w:hAnsi="Arial;sans-serif"/>
          <w:b w:val="false"/>
          <w:color w:val="000000"/>
          <w:sz w:val="22"/>
        </w:rPr>
        <w:t>or the “</w:t>
      </w:r>
      <w:r>
        <w:rPr>
          <w:rFonts w:ascii="Arial;sans-serif" w:hAnsi="Arial;sans-serif"/>
          <w:b/>
          <w:color w:val="000000"/>
          <w:sz w:val="22"/>
          <w:u w:val="single"/>
        </w:rPr>
        <w:t>Company</w:t>
      </w:r>
      <w:r>
        <w:rPr>
          <w:color w:val="000000"/>
        </w:rPr>
        <w:t>”</w:t>
      </w:r>
      <w:r>
        <w:rPr>
          <w:rFonts w:ascii="Arial;sans-serif" w:hAnsi="Arial;sans-serif"/>
          <w:b w:val="false"/>
          <w:color w:val="000000"/>
          <w:sz w:val="22"/>
        </w:rPr>
        <w:t>) to register an additional 1,000,000 shares (the “</w:t>
      </w:r>
      <w:r>
        <w:rPr>
          <w:rFonts w:ascii="Arial;sans-serif" w:hAnsi="Arial;sans-serif"/>
          <w:b/>
          <w:color w:val="000000"/>
          <w:sz w:val="22"/>
          <w:u w:val="single"/>
        </w:rPr>
        <w:t>Additional Shares</w:t>
      </w:r>
      <w:r>
        <w:rPr>
          <w:color w:val="000000"/>
        </w:rPr>
        <w:t>”</w:t>
      </w:r>
      <w:r>
        <w:rPr>
          <w:rFonts w:ascii="Arial;sans-serif" w:hAnsi="Arial;sans-serif"/>
          <w:b w:val="false"/>
          <w:color w:val="000000"/>
          <w:sz w:val="22"/>
        </w:rPr>
        <w:t>) of the Company’s common stock (the “</w:t>
      </w:r>
      <w:r>
        <w:rPr>
          <w:rFonts w:ascii="Arial;sans-serif" w:hAnsi="Arial;sans-serif"/>
          <w:b/>
          <w:color w:val="000000"/>
          <w:sz w:val="22"/>
          <w:u w:val="single"/>
        </w:rPr>
        <w:t>Common Stock</w:t>
      </w:r>
      <w:r>
        <w:rPr>
          <w:color w:val="000000"/>
        </w:rPr>
        <w:t>”</w:t>
      </w:r>
      <w:r>
        <w:rPr>
          <w:rFonts w:ascii="Arial;sans-serif" w:hAnsi="Arial;sans-serif"/>
          <w:b w:val="false"/>
          <w:color w:val="000000"/>
          <w:sz w:val="22"/>
        </w:rPr>
        <w:t>), par value $0.01 per share, that are authorized for issuance under the InTest Corporation 2023 Stock Incentive Plan, as amended (the “</w:t>
      </w:r>
      <w:r>
        <w:rPr>
          <w:rFonts w:ascii="Arial;sans-serif" w:hAnsi="Arial;sans-serif"/>
          <w:b/>
          <w:color w:val="000000"/>
          <w:sz w:val="22"/>
          <w:u w:val="single"/>
        </w:rPr>
        <w:t>Plan</w:t>
      </w:r>
      <w:r>
        <w:rPr>
          <w:color w:val="000000"/>
        </w:rPr>
        <w:t>”</w:t>
      </w:r>
      <w:r>
        <w:rPr>
          <w:rFonts w:ascii="Arial;sans-serif" w:hAnsi="Arial;sans-serif"/>
          <w:b w:val="false"/>
          <w:color w:val="000000"/>
          <w:sz w:val="22"/>
        </w:rPr>
        <w:t>). The Additional Shares are in addition to the shares of Common Stock previously registered for issuance under the Plan pursuant to the Company’s Registration Statement on Form S-8 (File No. 333-273886) (the “</w:t>
      </w:r>
      <w:r>
        <w:rPr>
          <w:rFonts w:ascii="Arial;sans-serif" w:hAnsi="Arial;sans-serif"/>
          <w:b/>
          <w:color w:val="000000"/>
          <w:sz w:val="22"/>
          <w:u w:val="single"/>
        </w:rPr>
        <w:t>Prior Registration Statement</w:t>
      </w:r>
      <w:r>
        <w:rPr>
          <w:color w:val="000000"/>
        </w:rPr>
        <w:t>”</w:t>
      </w:r>
      <w:r>
        <w:rPr>
          <w:rFonts w:ascii="Arial;sans-serif" w:hAnsi="Arial;sans-serif"/>
          <w:b w:val="false"/>
          <w:color w:val="000000"/>
          <w:sz w:val="22"/>
        </w:rPr>
        <w:t>) filed with the Securities and Exchange Commission (the “</w:t>
      </w:r>
      <w:r>
        <w:rPr>
          <w:rFonts w:ascii="Arial;sans-serif" w:hAnsi="Arial;sans-serif"/>
          <w:b/>
          <w:color w:val="000000"/>
          <w:sz w:val="22"/>
          <w:u w:val="single"/>
        </w:rPr>
        <w:t>Commission</w:t>
      </w:r>
      <w:r>
        <w:rPr>
          <w:color w:val="000000"/>
        </w:rPr>
        <w:t>”</w:t>
      </w:r>
      <w:r>
        <w:rPr>
          <w:rFonts w:ascii="Arial;sans-serif" w:hAnsi="Arial;sans-serif"/>
          <w:b w:val="false"/>
          <w:color w:val="000000"/>
          <w:sz w:val="22"/>
        </w:rPr>
        <w:t>) on August 10, 2023.</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This Registration Statement relates to securities of the same class as to which the Prior Registration Statement relates, and is submitted in accordance with General Instruction E to Form S-8 regarding registration of additional securities. Pursuant to such instruction, the contents of the Prior Registration Statement are incorporated by reference and made part of this Registration Statement, except to the extent modified, superseded, or amended by the information set forth herein.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PART II</w:t>
      </w:r>
    </w:p>
    <w:p>
      <w:pPr>
        <w:pStyle w:val="TextBody"/>
        <w:bidi w:val="0"/>
        <w:spacing w:lineRule="auto" w:line="288" w:before="0" w:after="200"/>
        <w:jc w:val="center"/>
        <w:rPr>
          <w:rFonts w:ascii="Arial;sans-serif" w:hAnsi="Arial;sans-serif"/>
          <w:b/>
          <w:color w:val="000000"/>
          <w:sz w:val="22"/>
        </w:rPr>
      </w:pPr>
      <w:r>
        <w:rPr>
          <w:rFonts w:ascii="Arial;sans-serif" w:hAnsi="Arial;sans-serif"/>
          <w:b/>
          <w:color w:val="000000"/>
          <w:sz w:val="22"/>
        </w:rPr>
        <w:t>INFORMATION REQUIRED IN THE REGISTRATION STATEMENT</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3.    Incorporation of Documents by Reference.</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The documents listed in clauses (a) through (e) below are incorporated herein by this reference thereto, and all documents subsequently filed (other than respective filings or portions of the filings that are furnished, under applicable Commission rules, rather than filed) by the Registrant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this reference in this Registration Statement and to be a part hereof from the date of filing of such documents:</w:t>
      </w:r>
    </w:p>
    <w:p>
      <w:pPr>
        <w:pStyle w:val="TextBody"/>
        <w:bidi w:val="0"/>
        <w:spacing w:lineRule="auto" w:line="288" w:before="0" w:after="200"/>
        <w:ind w:left="0" w:right="0" w:hanging="360"/>
        <w:jc w:val="both"/>
        <w:rPr/>
      </w:pPr>
      <w:r>
        <w:rPr>
          <w:rFonts w:ascii="Arial;sans-serif" w:hAnsi="Arial;sans-serif"/>
          <w:b w:val="false"/>
          <w:color w:val="000000"/>
          <w:sz w:val="22"/>
        </w:rPr>
        <w:t>a.</w:t>
      </w:r>
      <w:hyperlink r:id="rId2">
        <w:r>
          <w:rPr>
            <w:rStyle w:val="InternetLink"/>
            <w:rFonts w:ascii="Arial;sans-serif" w:hAnsi="Arial;sans-serif"/>
            <w:b w:val="false"/>
            <w:color w:val="0000FF"/>
            <w:sz w:val="22"/>
            <w:u w:val="single"/>
          </w:rPr>
          <w:t>The Registrant’s Annual Report on Form 10-K for the fiscal year ended December 31, 2025, filed with the Commission on March 12, 2026</w:t>
        </w:r>
      </w:hyperlink>
      <w:r>
        <w:rPr>
          <w:rFonts w:ascii="Arial;sans-serif" w:hAnsi="Arial;sans-serif"/>
          <w:b w:val="false"/>
          <w:color w:val="000000"/>
          <w:sz w:val="22"/>
        </w:rPr>
        <w:t>;</w:t>
      </w:r>
    </w:p>
    <w:p>
      <w:pPr>
        <w:pStyle w:val="TextBody"/>
        <w:bidi w:val="0"/>
        <w:spacing w:lineRule="auto" w:line="288" w:before="0" w:after="200"/>
        <w:ind w:left="0" w:right="0" w:hanging="360"/>
        <w:jc w:val="left"/>
        <w:rPr/>
      </w:pPr>
      <w:r>
        <w:rPr>
          <w:rFonts w:ascii="Arial;sans-serif" w:hAnsi="Arial;sans-serif"/>
          <w:b w:val="false"/>
          <w:color w:val="000000"/>
          <w:sz w:val="22"/>
        </w:rPr>
        <w:t>b.</w:t>
      </w:r>
      <w:hyperlink r:id="rId3">
        <w:r>
          <w:rPr>
            <w:rStyle w:val="InternetLink"/>
            <w:rFonts w:ascii="Arial;sans-serif" w:hAnsi="Arial;sans-serif"/>
            <w:b w:val="false"/>
            <w:color w:val="0000FF"/>
            <w:sz w:val="22"/>
            <w:u w:val="single"/>
          </w:rPr>
          <w:t>The Registrant’s Quarterly Report on Form 10-Q for the quarter ended March 31, 2026 filed with the Commission on May 11, 2026</w:t>
        </w:r>
      </w:hyperlink>
      <w:r>
        <w:rPr>
          <w:rFonts w:ascii="Arial;sans-serif" w:hAnsi="Arial;sans-serif"/>
          <w:b w:val="false"/>
          <w:color w:val="000000"/>
          <w:sz w:val="22"/>
        </w:rPr>
        <w:t>;</w:t>
      </w:r>
    </w:p>
    <w:p>
      <w:pPr>
        <w:pStyle w:val="TextBody"/>
        <w:bidi w:val="0"/>
        <w:spacing w:lineRule="auto" w:line="288" w:before="0" w:after="200"/>
        <w:ind w:left="0" w:right="0" w:hanging="360"/>
        <w:jc w:val="left"/>
        <w:rPr/>
      </w:pPr>
      <w:r>
        <w:rPr>
          <w:rFonts w:ascii="Arial;sans-serif" w:hAnsi="Arial;sans-serif"/>
          <w:b w:val="false"/>
          <w:color w:val="000000"/>
          <w:sz w:val="22"/>
        </w:rPr>
        <w:t>c.</w:t>
      </w:r>
      <w:hyperlink r:id="rId4">
        <w:r>
          <w:rPr>
            <w:rStyle w:val="InternetLink"/>
            <w:rFonts w:ascii="Arial;sans-serif" w:hAnsi="Arial;sans-serif"/>
            <w:b w:val="false"/>
            <w:color w:val="0000FF"/>
            <w:sz w:val="22"/>
            <w:u w:val="single"/>
          </w:rPr>
          <w:t>The Registrant’s Quarterly Report on Form 10-Q for the quarter ended June 30, 2026 filed with the Commission on August 10, 2026;</w:t>
        </w:r>
      </w:hyperlink>
    </w:p>
    <w:p>
      <w:pPr>
        <w:pStyle w:val="TextBody"/>
        <w:bidi w:val="0"/>
        <w:spacing w:lineRule="auto" w:line="288" w:before="0" w:after="200"/>
        <w:ind w:left="0" w:right="0" w:hanging="360"/>
        <w:jc w:val="left"/>
        <w:rPr/>
      </w:pPr>
      <w:r>
        <w:rPr>
          <w:rFonts w:ascii="Arial;sans-serif" w:hAnsi="Arial;sans-serif"/>
          <w:b w:val="false"/>
          <w:color w:val="000000"/>
          <w:sz w:val="22"/>
        </w:rPr>
        <w:t xml:space="preserve">d.The Registrant’s Current Reports on Form 8-K filed with the Commission on </w:t>
      </w:r>
      <w:hyperlink r:id="rId5">
        <w:r>
          <w:rPr>
            <w:rStyle w:val="InternetLink"/>
            <w:rFonts w:ascii="Arial;sans-serif" w:hAnsi="Arial;sans-serif"/>
            <w:b w:val="false"/>
            <w:color w:val="0000FF"/>
            <w:sz w:val="22"/>
            <w:u w:val="single"/>
          </w:rPr>
          <w:t>March 6, 2026</w:t>
        </w:r>
      </w:hyperlink>
      <w:r>
        <w:rPr>
          <w:rFonts w:ascii="Arial;sans-serif" w:hAnsi="Arial;sans-serif"/>
          <w:b w:val="false"/>
          <w:color w:val="000000"/>
          <w:sz w:val="22"/>
        </w:rPr>
        <w:t xml:space="preserve">, </w:t>
      </w:r>
      <w:hyperlink r:id="rId6">
        <w:r>
          <w:rPr>
            <w:rStyle w:val="InternetLink"/>
            <w:rFonts w:ascii="Arial;sans-serif" w:hAnsi="Arial;sans-serif"/>
            <w:b w:val="false"/>
            <w:color w:val="0000FF"/>
            <w:sz w:val="22"/>
            <w:u w:val="single"/>
          </w:rPr>
          <w:t>April 2, 2026</w:t>
        </w:r>
      </w:hyperlink>
      <w:r>
        <w:rPr>
          <w:rFonts w:ascii="Arial;sans-serif" w:hAnsi="Arial;sans-serif"/>
          <w:b w:val="false"/>
          <w:color w:val="000000"/>
          <w:sz w:val="22"/>
        </w:rPr>
        <w:t xml:space="preserve">, </w:t>
      </w:r>
      <w:hyperlink r:id="rId7">
        <w:r>
          <w:rPr>
            <w:rStyle w:val="InternetLink"/>
            <w:rFonts w:ascii="Arial;sans-serif" w:hAnsi="Arial;sans-serif"/>
            <w:b w:val="false"/>
            <w:color w:val="0000FF"/>
            <w:sz w:val="22"/>
            <w:u w:val="single"/>
          </w:rPr>
          <w:t>April 10, 2026</w:t>
        </w:r>
      </w:hyperlink>
      <w:r>
        <w:rPr>
          <w:rFonts w:ascii="Arial;sans-serif" w:hAnsi="Arial;sans-serif"/>
          <w:b w:val="false"/>
          <w:color w:val="000000"/>
          <w:sz w:val="22"/>
        </w:rPr>
        <w:t xml:space="preserve">, </w:t>
      </w:r>
      <w:hyperlink r:id="rId8">
        <w:r>
          <w:rPr>
            <w:rStyle w:val="InternetLink"/>
            <w:rFonts w:ascii="Arial;sans-serif" w:hAnsi="Arial;sans-serif"/>
            <w:b w:val="false"/>
            <w:color w:val="0000FF"/>
            <w:sz w:val="22"/>
            <w:u w:val="single"/>
          </w:rPr>
          <w:t>May 5, 2026</w:t>
        </w:r>
      </w:hyperlink>
      <w:r>
        <w:rPr>
          <w:rFonts w:ascii="Arial;sans-serif" w:hAnsi="Arial;sans-serif"/>
          <w:b w:val="false"/>
          <w:color w:val="0000FF"/>
          <w:sz w:val="22"/>
        </w:rPr>
        <w:t>,</w:t>
      </w:r>
      <w:r>
        <w:rPr>
          <w:color w:val="000000"/>
        </w:rPr>
        <w:t xml:space="preserve"> </w:t>
      </w:r>
      <w:hyperlink r:id="rId9">
        <w:r>
          <w:rPr>
            <w:rStyle w:val="InternetLink"/>
            <w:rFonts w:ascii="Arial;sans-serif" w:hAnsi="Arial;sans-serif"/>
            <w:b w:val="false"/>
            <w:color w:val="0000FF"/>
            <w:sz w:val="22"/>
            <w:u w:val="single"/>
          </w:rPr>
          <w:t>June 18, 2026</w:t>
        </w:r>
      </w:hyperlink>
      <w:r>
        <w:rPr>
          <w:rFonts w:ascii="Arial;sans-serif" w:hAnsi="Arial;sans-serif"/>
          <w:b w:val="false"/>
          <w:color w:val="0000FF"/>
          <w:sz w:val="22"/>
        </w:rPr>
        <w:t xml:space="preserve">, </w:t>
      </w:r>
      <w:r>
        <w:rPr>
          <w:rFonts w:ascii="Arial;sans-serif" w:hAnsi="Arial;sans-serif"/>
          <w:b w:val="false"/>
          <w:color w:val="000000"/>
          <w:sz w:val="22"/>
        </w:rPr>
        <w:t>and</w:t>
      </w:r>
      <w:r>
        <w:rPr>
          <w:color w:val="0000FF"/>
        </w:rPr>
        <w:t xml:space="preserve"> </w:t>
      </w:r>
      <w:hyperlink r:id="rId10">
        <w:r>
          <w:rPr>
            <w:rStyle w:val="InternetLink"/>
            <w:rFonts w:ascii="Arial;sans-serif" w:hAnsi="Arial;sans-serif"/>
            <w:b w:val="false"/>
            <w:color w:val="0000FF"/>
            <w:sz w:val="22"/>
            <w:u w:val="single"/>
          </w:rPr>
          <w:t>August 17, 2026</w:t>
        </w:r>
      </w:hyperlink>
      <w:r>
        <w:rPr>
          <w:rFonts w:ascii="Arial;sans-serif" w:hAnsi="Arial;sans-serif"/>
          <w:b w:val="false"/>
          <w:color w:val="000000"/>
          <w:sz w:val="22"/>
        </w:rPr>
        <w:t>; and</w:t>
      </w:r>
    </w:p>
    <w:p>
      <w:pPr>
        <w:pStyle w:val="TextBody"/>
        <w:bidi w:val="0"/>
        <w:spacing w:lineRule="auto" w:line="288" w:before="0" w:after="200"/>
        <w:ind w:left="0" w:right="0" w:hanging="360"/>
        <w:jc w:val="left"/>
        <w:rPr/>
      </w:pPr>
      <w:r>
        <w:rPr>
          <w:rFonts w:ascii="Arial;sans-serif" w:hAnsi="Arial;sans-serif"/>
          <w:b w:val="false"/>
          <w:color w:val="000000"/>
          <w:sz w:val="22"/>
        </w:rPr>
        <w:t xml:space="preserve">e.The Description of the Registrant’s Common Stock contained in our Registration Statement on Form 8-A, filed with the Commission on </w:t>
      </w:r>
      <w:hyperlink r:id="rId11">
        <w:r>
          <w:rPr>
            <w:rStyle w:val="InternetLink"/>
            <w:rFonts w:ascii="Arial;sans-serif" w:hAnsi="Arial;sans-serif"/>
            <w:b w:val="false"/>
            <w:color w:val="0000FF"/>
            <w:sz w:val="22"/>
            <w:u w:val="single"/>
          </w:rPr>
          <w:t>October 8, 2013</w:t>
        </w:r>
      </w:hyperlink>
      <w:r>
        <w:rPr>
          <w:rFonts w:ascii="Arial;sans-serif" w:hAnsi="Arial;sans-serif"/>
          <w:b w:val="false"/>
          <w:color w:val="000000"/>
          <w:sz w:val="22"/>
        </w:rPr>
        <w:t xml:space="preserve">, and any amendment or report filed for the purpose of updating such description (including </w:t>
      </w:r>
      <w:hyperlink r:id="rId12">
        <w:r>
          <w:rPr>
            <w:rStyle w:val="InternetLink"/>
            <w:rFonts w:ascii="Arial;sans-serif" w:hAnsi="Arial;sans-serif"/>
            <w:b w:val="false"/>
            <w:color w:val="0000FF"/>
            <w:sz w:val="22"/>
            <w:u w:val="single"/>
          </w:rPr>
          <w:t>Exhibit 4.1</w:t>
        </w:r>
      </w:hyperlink>
      <w:r>
        <w:rPr>
          <w:color w:val="000000"/>
        </w:rPr>
        <w:t xml:space="preserve"> </w:t>
      </w:r>
      <w:r>
        <w:rPr>
          <w:rFonts w:ascii="Arial;sans-serif" w:hAnsi="Arial;sans-serif"/>
          <w:b w:val="false"/>
          <w:color w:val="000000"/>
          <w:sz w:val="22"/>
        </w:rPr>
        <w:t>to the Registrant’s Annual Report on Form 10-K for the fiscal year ended December 31, 2019, filed with the Commission on March 23, 2020).</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statement.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4.    Description of Securities.</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5.    Interests of Named Experts and Counsel.</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Not applicable.</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6.    Indemnification of Directors and Officers.</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The following is a summary of the general effect of the Delaware General Corporation Law (the “DGCL”), our bylaws and certificate of incorporation and certain agreements entered into with each of our directors and executive officers relating to the indemnification of our directors and officers and insurance therefor. Such summaries are necessarily subject to the complete text of such statute, bylaws, certificate of incorporation and agreements and are qualified in their entirety by reference thereto.</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Section 145 of the DGCL provides that a corporation may indemnify any person made a party to an action by reason of the fact that he or she was a director, executive officer, employee or agent of the corporation or is or was serving at the request of the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Article VI of our bylaws provides that we shall indemnify our directors and officers to the fullest extent permitted by the DGCL. Our bylaws require us, among other things, to indemnify our directors and officers against certain liabilities that may arise by reason of their status or service as directors or officers and to advance expenses to them as they are incurred, provided that they undertake to repay the amount advanced if it is ultimately determined by a court that they are not entitled to indemnification. Our bylaws require that we indemnify our officers and directors in connection with any proceeding (or part thereof) initiated by the officer or director only if the initiation of the proceeding was authorized by the Board of Directors.</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 xml:space="preserve">Article IX of our certificate of incorporation provides that our directors shall not be personally liable to the corporation or our stockholders for monetary damages for breach of his or her fiduciary duty as a director, except for liability (i) for any breach of the director's duty of loyalty to the corporation or our stockholders, (ii) for acts or omissions not in good faith or which involve intentional misconduct or a knowing violation of law, (iii) for willful or negligent conduct in paying dividends or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repurchasing stock out of other than lawfully available funds pursuant to Section 174 of the DGCL, or (iv) for any transaction from which the director derives an improper personal benefit.</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We have entered into an indemnification agreement with each of our directors and officers. Under the terms of the indemnification agreements, subject to certain exceptions specified in the indemnification agreements, we will indemnify each of our directors and officers to the fullest extent permitted by Delaware law in the event a director or officer becomes subject to or a participant in certain claims or proceedings as a result of his or her service as a director or officer. We will also, subject to certain exceptions and repayment conditions, advance to our directors and officers specified indemnifiable expenses incurred in connection with such claims or proceedings.</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We have an insurance policy which will entitle us to be reimbursed for certain indemnity payments we are required or permitted to make to our directors and officers.</w:t>
      </w: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7.    Exemption from Registration Claimed.</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3"/>
        <w:gridCol w:w="319"/>
        <w:gridCol w:w="321"/>
        <w:gridCol w:w="2699"/>
        <w:gridCol w:w="2690"/>
        <w:gridCol w:w="3813"/>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3813"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Exhibit No.</w:t>
            </w:r>
          </w:p>
        </w:tc>
        <w:tc>
          <w:tcPr>
            <w:tcW w:w="92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2"/>
              </w:rPr>
            </w:pPr>
            <w:r>
              <w:rPr>
                <w:rFonts w:ascii="Arial;sans-serif" w:hAnsi="Arial;sans-serif"/>
                <w:b/>
                <w:color w:val="000000"/>
                <w:sz w:val="22"/>
              </w:rPr>
              <w:t>Description</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4.1</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3">
              <w:r>
                <w:rPr>
                  <w:rStyle w:val="InternetLink"/>
                  <w:rFonts w:ascii="Arial;sans-serif" w:hAnsi="Arial;sans-serif"/>
                  <w:b w:val="false"/>
                  <w:color w:val="000080"/>
                  <w:sz w:val="22"/>
                  <w:u w:val="single"/>
                </w:rPr>
                <w:t>Certificate of Incorporation, filed as Exhibit 3.1 to the Registrant’s Form 10-K for the year ended December 31, 2019, filed on March 23, 2020, incorporated herein by reference</w:t>
              </w:r>
            </w:hyperlink>
            <w:r>
              <w:rPr>
                <w:rFonts w:ascii="Arial;sans-serif" w:hAnsi="Arial;sans-serif"/>
                <w:b w:val="false"/>
                <w:color w:val="0000FF"/>
                <w:sz w:val="22"/>
                <w:u w:val="single"/>
              </w:rPr>
              <w:t>.</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4.2</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Arial;sans-serif" w:hAnsi="Arial;sans-serif"/>
                  <w:b w:val="false"/>
                  <w:color w:val="000080"/>
                  <w:sz w:val="22"/>
                  <w:u w:val="single"/>
                </w:rPr>
                <w:t>Bylaws, as amended and restated on April 23, 2018, filed as Exhibit 3.1 to the Registrant’s Current Report on Form 8-K filed on April 25, 2018, incorporated herein by reference</w:t>
              </w:r>
            </w:hyperlink>
            <w:r>
              <w:rPr>
                <w:rFonts w:ascii="Arial;sans-serif" w:hAnsi="Arial;sans-serif"/>
                <w:b w:val="false"/>
                <w:color w:val="0000FF"/>
                <w:sz w:val="22"/>
                <w:u w:val="single"/>
              </w:rPr>
              <w:t>.</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4.3</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5">
              <w:r>
                <w:rPr>
                  <w:rStyle w:val="InternetLink"/>
                  <w:rFonts w:ascii="Arial;sans-serif" w:hAnsi="Arial;sans-serif"/>
                  <w:b w:val="false"/>
                  <w:color w:val="0000FF"/>
                  <w:sz w:val="22"/>
                  <w:u w:val="single"/>
                </w:rPr>
                <w:t>Specimen Stock Certificate evidencing shares of Common Stock, filed as Exhibit 4.1 to Form 8-A/A filed on May 4, 2011, incorporated herein by reference.</w:t>
              </w:r>
            </w:hyperlink>
            <w:r>
              <w:rPr>
                <w:color w:val="000000"/>
              </w:rPr>
              <w:t> </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5.1*</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51hseopinionconsent.htm">
              <w:r>
                <w:rPr>
                  <w:rStyle w:val="InternetLink"/>
                  <w:rFonts w:ascii="Arial;sans-serif" w:hAnsi="Arial;sans-serif"/>
                  <w:b w:val="false"/>
                  <w:color w:val="0000FF"/>
                  <w:sz w:val="22"/>
                  <w:u w:val="single"/>
                </w:rPr>
                <w:t>Opinion of Harter Secrest &amp; Emery LLP</w:t>
              </w:r>
            </w:hyperlink>
            <w:r>
              <w:rPr>
                <w:rFonts w:ascii="Arial;sans-serif" w:hAnsi="Arial;sans-serif"/>
                <w:b w:val="false"/>
                <w:color w:val="000000"/>
                <w:sz w:val="22"/>
              </w:rPr>
              <w:t>.</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23.1*</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231rsmconsent.htm">
              <w:r>
                <w:rPr>
                  <w:rStyle w:val="InternetLink"/>
                  <w:rFonts w:ascii="Arial;sans-serif" w:hAnsi="Arial;sans-serif"/>
                  <w:b w:val="false"/>
                  <w:color w:val="0000FF"/>
                  <w:sz w:val="22"/>
                  <w:u w:val="single"/>
                </w:rPr>
                <w:t>Consent of RSM US LLP</w:t>
              </w:r>
            </w:hyperlink>
            <w:r>
              <w:rPr>
                <w:rFonts w:ascii="Arial;sans-serif" w:hAnsi="Arial;sans-serif"/>
                <w:b w:val="false"/>
                <w:color w:val="000000"/>
                <w:sz w:val="22"/>
              </w:rPr>
              <w:t>.</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23.3*</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51hseopinionconsent.htm">
              <w:r>
                <w:rPr>
                  <w:rStyle w:val="InternetLink"/>
                  <w:rFonts w:ascii="Arial;sans-serif" w:hAnsi="Arial;sans-serif"/>
                  <w:b w:val="false"/>
                  <w:color w:val="0000FF"/>
                  <w:sz w:val="22"/>
                  <w:u w:val="single"/>
                </w:rPr>
                <w:t>Consent of Harter Secrest &amp; Emery LLP (included in Exhibit 5.1)</w:t>
              </w:r>
            </w:hyperlink>
            <w:r>
              <w:rPr>
                <w:rFonts w:ascii="Arial;sans-serif" w:hAnsi="Arial;sans-serif"/>
                <w:b w:val="false"/>
                <w:color w:val="000000"/>
                <w:sz w:val="22"/>
              </w:rPr>
              <w:t>.</w:t>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24.1*</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i73a648960e1542cc8c287853d031d02a_1796">
              <w:r>
                <w:rPr>
                  <w:rStyle w:val="InternetLink"/>
                  <w:rFonts w:ascii="Arial;sans-serif" w:hAnsi="Arial;sans-serif"/>
                  <w:b w:val="false"/>
                  <w:color w:val="0000FF"/>
                  <w:sz w:val="22"/>
                  <w:u w:val="single"/>
                </w:rPr>
                <w:t>Power of Attorney (included on the signature pages to this Registration Statement).</w:t>
              </w:r>
            </w:hyperlink>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99.1</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r>
              <w:fldChar w:fldCharType="begin"/>
            </w:r>
            <w:r>
              <w:rPr>
                <w:rStyle w:val="InternetLink"/>
                <w:sz w:val="22"/>
                <w:u w:val="single"/>
                <w:b w:val="false"/>
                <w:rFonts w:ascii="Arial;sans-serif" w:hAnsi="Arial;sans-serif"/>
                <w:color w:val="0000FF"/>
              </w:rPr>
              <w:instrText xml:space="preserve"> HYPERLINK "https://www.sec.gov/Archives/edgar/data/1036262/000119312523122353/d483836ddef14a.htm" \l "toc483836_12"</w:instrText>
            </w:r>
            <w:r>
              <w:rPr>
                <w:rStyle w:val="InternetLink"/>
                <w:sz w:val="22"/>
                <w:u w:val="single"/>
                <w:b w:val="false"/>
                <w:rFonts w:ascii="Arial;sans-serif" w:hAnsi="Arial;sans-serif"/>
                <w:color w:val="0000FF"/>
              </w:rPr>
              <w:fldChar w:fldCharType="separate"/>
            </w:r>
            <w:r>
              <w:rPr>
                <w:rStyle w:val="InternetLink"/>
                <w:rFonts w:ascii="Arial;sans-serif" w:hAnsi="Arial;sans-serif"/>
                <w:b w:val="false"/>
                <w:color w:val="0000FF"/>
                <w:sz w:val="22"/>
                <w:u w:val="single"/>
              </w:rPr>
              <w:t>InTest Corporation 2023 Stock Incentive Plan is incorporated herein by reference from Appendix A to our Definitive Proxy Statement filed on April 27, 2023 in connection with the 2023 Annual Meeting of Stockholders.</w:t>
            </w:r>
            <w:r>
              <w:rPr>
                <w:rStyle w:val="InternetLink"/>
                <w:sz w:val="22"/>
                <w:u w:val="single"/>
                <w:b w:val="false"/>
                <w:rFonts w:ascii="Arial;sans-serif" w:hAnsi="Arial;sans-serif"/>
                <w:color w:val="0000FF"/>
              </w:rPr>
              <w:fldChar w:fldCharType="end"/>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99.2</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16">
              <w:r>
                <w:rPr>
                  <w:rStyle w:val="InternetLink"/>
                  <w:rFonts w:ascii="Arial;sans-serif" w:hAnsi="Arial;sans-serif"/>
                  <w:b w:val="false"/>
                  <w:color w:val="0000FF"/>
                  <w:sz w:val="22"/>
                  <w:u w:val="single"/>
                </w:rPr>
                <w:t>Amendment No. 1 to the InTest Corporation 2023 Stock Incentive Plan is incorporated herein by reference from Appendix A to our Definitive Proxy Statement filed April 28, 2026 in connection with the 2026 Annual Meeting of Stockholders.</w:t>
              </w:r>
            </w:hyperlink>
            <w:r>
              <w:rPr>
                <w:color w:val="000000"/>
              </w:rPr>
              <w:t xml:space="preserve"> </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107*</w:t>
            </w:r>
          </w:p>
        </w:tc>
        <w:tc>
          <w:tcPr>
            <w:tcW w:w="9202"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exfilingfees.htm">
              <w:r>
                <w:rPr>
                  <w:rStyle w:val="InternetLink"/>
                  <w:rFonts w:ascii="Arial;sans-serif" w:hAnsi="Arial;sans-serif"/>
                  <w:b w:val="false"/>
                  <w:color w:val="000080"/>
                  <w:sz w:val="22"/>
                  <w:u w:val="single"/>
                </w:rPr>
                <w:t>Ca</w:t>
              </w:r>
            </w:hyperlink>
            <w:hyperlink w:anchor="exfilingfees.htm">
              <w:r>
                <w:rPr>
                  <w:rStyle w:val="InternetLink"/>
                  <w:rFonts w:ascii="Arial;sans-serif" w:hAnsi="Arial;sans-serif"/>
                  <w:b w:val="false"/>
                  <w:color w:val="000080"/>
                  <w:sz w:val="22"/>
                  <w:u w:val="single"/>
                </w:rPr>
                <w:t xml:space="preserve">lculation of </w:t>
              </w:r>
            </w:hyperlink>
            <w:hyperlink w:anchor="exfilingfees.htm">
              <w:r>
                <w:rPr>
                  <w:rStyle w:val="InternetLink"/>
                  <w:rFonts w:ascii="Arial;sans-serif" w:hAnsi="Arial;sans-serif"/>
                  <w:b w:val="false"/>
                  <w:color w:val="000080"/>
                  <w:sz w:val="22"/>
                  <w:u w:val="single"/>
                </w:rPr>
                <w:t>Filing Fee Table</w:t>
              </w:r>
            </w:hyperlink>
            <w:r>
              <w:rPr>
                <w:rFonts w:ascii="Arial;sans-serif" w:hAnsi="Arial;sans-serif"/>
                <w:b w:val="false"/>
                <w:color w:val="000000"/>
                <w:sz w:val="22"/>
              </w:rPr>
              <w:t>.</w:t>
            </w:r>
          </w:p>
        </w:tc>
      </w:tr>
      <w:tr>
        <w:trPr/>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22"/>
        </w:rPr>
      </w:pPr>
      <w:r>
        <w:rPr>
          <w:rFonts w:ascii="Arial;sans-serif" w:hAnsi="Arial;sans-serif"/>
          <w:b w:val="false"/>
          <w:color w:val="000000"/>
          <w:sz w:val="22"/>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2"/>
        </w:rPr>
      </w:pPr>
      <w:r>
        <w:rPr>
          <w:rFonts w:ascii="Arial;sans-serif" w:hAnsi="Arial;sans-serif"/>
          <w:b/>
          <w:color w:val="000000"/>
          <w:sz w:val="22"/>
        </w:rPr>
        <w:t>Item 9.    Undertakings.</w:t>
      </w:r>
    </w:p>
    <w:p>
      <w:pPr>
        <w:pStyle w:val="TextBody"/>
        <w:bidi w:val="0"/>
        <w:spacing w:lineRule="auto" w:line="288" w:before="0" w:after="200"/>
        <w:ind w:left="0" w:right="0" w:hanging="360"/>
        <w:jc w:val="left"/>
        <w:rPr>
          <w:rFonts w:ascii="Arial;sans-serif" w:hAnsi="Arial;sans-serif"/>
          <w:b w:val="false"/>
          <w:color w:val="000000"/>
          <w:sz w:val="22"/>
        </w:rPr>
      </w:pPr>
      <w:r>
        <w:rPr>
          <w:rFonts w:ascii="Arial;sans-serif" w:hAnsi="Arial;sans-serif"/>
          <w:b w:val="false"/>
          <w:color w:val="000000"/>
          <w:sz w:val="22"/>
        </w:rPr>
        <w:t>(a)    The undersigned registrant hereby undertakes:</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(1)    To file, during any period in which offers or sales are being made, a post-effective amendment to this Registration Statement:</w:t>
      </w:r>
    </w:p>
    <w:p>
      <w:pPr>
        <w:pStyle w:val="TextBody"/>
        <w:bidi w:val="0"/>
        <w:spacing w:lineRule="auto" w:line="288" w:before="0" w:after="200"/>
        <w:ind w:left="0" w:right="0" w:hanging="540"/>
        <w:jc w:val="both"/>
        <w:rPr>
          <w:rFonts w:ascii="Arial;sans-serif" w:hAnsi="Arial;sans-serif"/>
          <w:b w:val="false"/>
          <w:color w:val="000000"/>
          <w:sz w:val="22"/>
        </w:rPr>
      </w:pPr>
      <w:r>
        <w:rPr>
          <w:rFonts w:ascii="Arial;sans-serif" w:hAnsi="Arial;sans-serif"/>
          <w:b w:val="false"/>
          <w:color w:val="000000"/>
          <w:sz w:val="22"/>
        </w:rPr>
        <w:t>(i)    To include any prospectus required by Section 10(a)(3) of the Securities Act;</w:t>
      </w:r>
    </w:p>
    <w:p>
      <w:pPr>
        <w:pStyle w:val="TextBody"/>
        <w:bidi w:val="0"/>
        <w:spacing w:lineRule="auto" w:line="288" w:before="0" w:after="200"/>
        <w:ind w:left="0" w:right="0" w:hanging="540"/>
        <w:jc w:val="both"/>
        <w:rPr>
          <w:rFonts w:ascii="Arial;sans-serif" w:hAnsi="Arial;sans-serif"/>
          <w:b w:val="false"/>
          <w:color w:val="000000"/>
          <w:sz w:val="22"/>
        </w:rPr>
      </w:pPr>
      <w:r>
        <w:rPr>
          <w:rFonts w:ascii="Arial;sans-serif" w:hAnsi="Arial;sans-serif"/>
          <w:b w:val="false"/>
          <w:color w:val="000000"/>
          <w:sz w:val="22"/>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Filing Fee Table” or “Calculation of Registration Fee” table, as applicable, in the effective registration statement; and</w:t>
      </w:r>
    </w:p>
    <w:p>
      <w:pPr>
        <w:pStyle w:val="TextBody"/>
        <w:bidi w:val="0"/>
        <w:spacing w:lineRule="auto" w:line="288" w:before="0" w:after="200"/>
        <w:ind w:left="0" w:right="0" w:hanging="540"/>
        <w:jc w:val="both"/>
        <w:rPr>
          <w:rFonts w:ascii="Arial;sans-serif" w:hAnsi="Arial;sans-serif"/>
          <w:b w:val="false"/>
          <w:color w:val="000000"/>
          <w:sz w:val="22"/>
        </w:rPr>
      </w:pPr>
      <w:r>
        <w:rPr>
          <w:rFonts w:ascii="Arial;sans-serif" w:hAnsi="Arial;sans-serif"/>
          <w:b w:val="false"/>
          <w:color w:val="000000"/>
          <w:sz w:val="22"/>
        </w:rPr>
        <w:t>(iii)    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200"/>
        <w:jc w:val="both"/>
        <w:rPr>
          <w:rFonts w:ascii="Arial;sans-serif" w:hAnsi="Arial;sans-serif"/>
          <w:b w:val="false"/>
          <w:color w:val="000000"/>
          <w:sz w:val="22"/>
        </w:rPr>
      </w:pPr>
      <w:r>
        <w:rPr>
          <w:rFonts w:ascii="Arial;sans-serif" w:hAnsi="Arial;sans-serif"/>
          <w:b w:val="false"/>
          <w:color w:val="000000"/>
          <w:sz w:val="22"/>
        </w:rPr>
        <w:t>Provided, however, that paragraphs (a)(1)(i) and (a)(1)(ii) do not apply if the information required to be included in a post-effective amendment by those paragraphs is contained in the periodic reports filed with or furnished to the SEC by the registrant pursuant to Section 13 or 15(d) of the Exchange Act that are incorporated by reference in the Registration Statement.</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(2)    That, for the purpose of determining any liability under the Securities Act, each such post-effective amendment shall be deemed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(3)    To remove from registration by means of a post-effective amendment any of the securities being registered which remain unsold at the termination of the offering.</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200"/>
        <w:ind w:left="0" w:right="0" w:hanging="360"/>
        <w:jc w:val="both"/>
        <w:rPr>
          <w:rFonts w:ascii="Arial;sans-serif" w:hAnsi="Arial;sans-serif"/>
          <w:b w:val="false"/>
          <w:color w:val="000000"/>
          <w:sz w:val="22"/>
        </w:rPr>
      </w:pPr>
      <w:r>
        <w:rPr>
          <w:rFonts w:ascii="Arial;sans-serif" w:hAnsi="Arial;sans-serif"/>
          <w:b w:val="false"/>
          <w:color w:val="000000"/>
          <w:sz w:val="22"/>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lineRule="auto" w:line="288" w:before="0" w:after="200"/>
        <w:ind w:left="0" w:right="0" w:firstLine="720"/>
        <w:jc w:val="both"/>
        <w:rPr/>
      </w:pPr>
      <w:r>
        <w:rPr>
          <w:rFonts w:ascii="Arial;sans-serif" w:hAnsi="Arial;sans-serif"/>
          <w:b w:val="false"/>
          <w:color w:val="000000"/>
          <w:sz w:val="22"/>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w:t>
      </w:r>
      <w:r>
        <w:rPr>
          <w:rFonts w:ascii="Arial;sans-serif" w:hAnsi="Arial;sans-serif"/>
          <w:b w:val="false"/>
          <w:color w:val="000000"/>
          <w:sz w:val="22"/>
          <w:shd w:fill="FFFFFF" w:val="clear"/>
        </w:rPr>
        <w:t xml:space="preserve">Township of Mt. Laurel, State of New Jersey, on </w:t>
      </w:r>
      <w:r>
        <w:rPr>
          <w:rFonts w:ascii="Arial;sans-serif" w:hAnsi="Arial;sans-serif"/>
          <w:b w:val="false"/>
          <w:color w:val="000000"/>
          <w:sz w:val="22"/>
        </w:rPr>
        <w:t>September 1, 2026.</w:t>
      </w:r>
    </w:p>
    <w:tbl>
      <w:tblPr>
        <w:tblW w:w="5363" w:type="dxa"/>
        <w:jc w:val="left"/>
        <w:tblInd w:w="0" w:type="dxa"/>
        <w:tblLayout w:type="fixed"/>
        <w:tblCellMar>
          <w:top w:w="28" w:type="dxa"/>
          <w:left w:w="28" w:type="dxa"/>
          <w:bottom w:w="28" w:type="dxa"/>
          <w:right w:w="28" w:type="dxa"/>
        </w:tblCellMar>
      </w:tblPr>
      <w:tblGrid>
        <w:gridCol w:w="124"/>
        <w:gridCol w:w="109"/>
        <w:gridCol w:w="109"/>
        <w:gridCol w:w="399"/>
        <w:gridCol w:w="399"/>
        <w:gridCol w:w="399"/>
        <w:gridCol w:w="1118"/>
        <w:gridCol w:w="1118"/>
        <w:gridCol w:w="15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InTest CORPORATION</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By:</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 xml:space="preserve">/s/ Richard Rogoff </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Name:</w:t>
            </w:r>
          </w:p>
        </w:tc>
        <w:tc>
          <w:tcPr>
            <w:tcW w:w="382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Richard Rogoff</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Title:</w:t>
            </w:r>
          </w:p>
        </w:tc>
        <w:tc>
          <w:tcPr>
            <w:tcW w:w="3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President and Chief Executive Officer</w:t>
            </w:r>
          </w:p>
          <w:p>
            <w:pPr>
              <w:pStyle w:val="TableContents"/>
              <w:bidi w:val="0"/>
              <w:spacing w:lineRule="auto" w:line="288" w:before="0" w:after="0"/>
              <w:jc w:val="left"/>
              <w:rPr/>
            </w:pPr>
            <w:r>
              <w:rPr>
                <w:rFonts w:ascii="Arial;sans-serif" w:hAnsi="Arial;sans-serif"/>
                <w:b w:val="false"/>
                <w:color w:val="000000"/>
                <w:sz w:val="22"/>
              </w:rPr>
              <w:t>(</w:t>
            </w:r>
            <w:r>
              <w:rPr>
                <w:rFonts w:ascii="Arial;sans-serif" w:hAnsi="Arial;sans-serif"/>
                <w:b w:val="false"/>
                <w:i/>
                <w:color w:val="000000"/>
                <w:sz w:val="22"/>
              </w:rPr>
              <w:t>Principal Executive Officer</w:t>
            </w:r>
            <w:r>
              <w:rPr>
                <w:rFonts w:ascii="Arial;sans-serif" w:hAnsi="Arial;sans-serif"/>
                <w:b w:val="false"/>
                <w:color w:val="000000"/>
                <w:sz w:val="22"/>
              </w:rPr>
              <w:t>)</w:t>
            </w:r>
          </w:p>
        </w:tc>
      </w:tr>
    </w:tbl>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Arial;sans-serif" w:hAnsi="Arial;sans-serif"/>
          <w:b/>
          <w:color w:val="000000"/>
          <w:sz w:val="22"/>
          <w:shd w:fill="FFFFFF" w:val="clear"/>
        </w:rPr>
      </w:pPr>
      <w:bookmarkStart w:id="0" w:name="i73a648960e1542cc8c287853d031d02a_1796"/>
      <w:bookmarkEnd w:id="0"/>
      <w:r>
        <w:rPr>
          <w:rFonts w:ascii="Arial;sans-serif" w:hAnsi="Arial;sans-serif"/>
          <w:b/>
          <w:color w:val="000000"/>
          <w:sz w:val="22"/>
          <w:shd w:fill="FFFFFF" w:val="clear"/>
        </w:rPr>
        <w:t>POWER OF ATTORNEY</w:t>
      </w:r>
    </w:p>
    <w:p>
      <w:pPr>
        <w:pStyle w:val="TextBody"/>
        <w:bidi w:val="0"/>
        <w:spacing w:lineRule="auto" w:line="288" w:before="0" w:after="200"/>
        <w:ind w:left="0" w:right="0" w:firstLine="72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KNOW ALL PERSONS BY THESE PRESENTS, that each person whose signature appears below constitutes and appoints each of Richard Rogoff and Duncan Gilmour, and each of them acting individually, the individual’s true and lawful attorneys-in-fact and agents, with full power of substitution and resubstitution, for the person and in his or her name, place and stead, in any and all capacities, to sign any or all amendments (including post-effective amendments) to this Registration Statement, new registration statements pursuant to General Instruction E of Form S-8 pertaining to the registration of additional securities and post-effective amendments thereto, and any and all other documents in connection therewith to be filed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as agents or any of them, or their substitute or substitutes, may lawfully do or cause to be done by virtue hereof.</w:t>
      </w:r>
    </w:p>
    <w:p>
      <w:pPr>
        <w:pStyle w:val="TextBody"/>
        <w:bidi w:val="0"/>
        <w:spacing w:lineRule="auto" w:line="288" w:before="0" w:after="200"/>
        <w:ind w:left="0" w:right="0" w:firstLine="720"/>
        <w:jc w:val="both"/>
        <w:rPr>
          <w:rFonts w:ascii="Arial;sans-serif" w:hAnsi="Arial;sans-serif"/>
          <w:b w:val="false"/>
          <w:color w:val="000000"/>
          <w:sz w:val="22"/>
        </w:rPr>
      </w:pPr>
      <w:r>
        <w:rPr>
          <w:rFonts w:ascii="Arial;sans-serif" w:hAnsi="Arial;sans-serif"/>
          <w:b w:val="false"/>
          <w:color w:val="000000"/>
          <w:sz w:val="22"/>
        </w:rPr>
        <w:t>Pursuant to the requirements of the Securities Act of 1933, this Registration Statement has been signed by the following persons in the capacities and on the date indicated.</w:t>
      </w:r>
    </w:p>
    <w:tbl>
      <w:tblPr>
        <w:tblW w:w="10205" w:type="dxa"/>
        <w:jc w:val="left"/>
        <w:tblInd w:w="0" w:type="dxa"/>
        <w:tblLayout w:type="fixed"/>
        <w:tblCellMar>
          <w:top w:w="28" w:type="dxa"/>
          <w:left w:w="28" w:type="dxa"/>
          <w:bottom w:w="28" w:type="dxa"/>
          <w:right w:w="28" w:type="dxa"/>
        </w:tblCellMar>
      </w:tblPr>
      <w:tblGrid>
        <w:gridCol w:w="872"/>
        <w:gridCol w:w="766"/>
        <w:gridCol w:w="771"/>
        <w:gridCol w:w="1936"/>
        <w:gridCol w:w="1931"/>
        <w:gridCol w:w="1951"/>
        <w:gridCol w:w="575"/>
        <w:gridCol w:w="575"/>
        <w:gridCol w:w="828"/>
      </w:tblGrid>
      <w:tr>
        <w:trPr/>
        <w:tc>
          <w:tcPr>
            <w:tcW w:w="87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Signature</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Title</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2"/>
              </w:rPr>
            </w:pPr>
            <w:r>
              <w:rPr>
                <w:rFonts w:ascii="Arial;sans-serif" w:hAnsi="Arial;sans-serif"/>
                <w:b/>
                <w:color w:val="000000"/>
                <w:sz w:val="22"/>
              </w:rPr>
              <w:t>Date</w:t>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Richard Rogoff</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President, Chief Executive Officer and Director</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Richard Rogoff</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2"/>
              </w:rPr>
              <w:t>(</w:t>
            </w:r>
            <w:r>
              <w:rPr>
                <w:rFonts w:ascii="Arial;sans-serif" w:hAnsi="Arial;sans-serif"/>
                <w:b w:val="false"/>
                <w:i/>
                <w:color w:val="000000"/>
                <w:sz w:val="22"/>
              </w:rPr>
              <w:t>Principal Executive Officer</w:t>
            </w:r>
            <w:r>
              <w:rPr>
                <w:rFonts w:ascii="Arial;sans-serif" w:hAnsi="Arial;sans-serif"/>
                <w:b w:val="false"/>
                <w:color w:val="000000"/>
                <w:sz w:val="22"/>
              </w:rPr>
              <w:t>)</w:t>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Duncan Gilmour</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Chief Financial Officer, Treasurer and Secretary</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Duncan Gilmour</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0000"/>
                <w:sz w:val="22"/>
              </w:rPr>
              <w:t>(</w:t>
            </w:r>
            <w:r>
              <w:rPr>
                <w:rFonts w:ascii="Arial;sans-serif" w:hAnsi="Arial;sans-serif"/>
                <w:b w:val="false"/>
                <w:i/>
                <w:color w:val="000000"/>
                <w:sz w:val="22"/>
              </w:rPr>
              <w:t>Principal Financial Officer</w:t>
            </w:r>
            <w:r>
              <w:rPr>
                <w:color w:val="000000"/>
              </w:rPr>
              <w:t> </w:t>
            </w:r>
            <w:r>
              <w:rPr>
                <w:rFonts w:ascii="Arial;sans-serif" w:hAnsi="Arial;sans-serif"/>
                <w:b w:val="false"/>
                <w:i/>
                <w:color w:val="000000"/>
                <w:sz w:val="22"/>
              </w:rPr>
              <w:t>and Principal Accounting Officer</w:t>
            </w:r>
            <w:r>
              <w:rPr>
                <w:rFonts w:ascii="Arial;sans-serif" w:hAnsi="Arial;sans-serif"/>
                <w:b w:val="false"/>
                <w:color w:val="000000"/>
                <w:sz w:val="22"/>
              </w:rPr>
              <w:t>)</w:t>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Joseph W. Dews IV</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Chairperson of the Board of Directors</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Joseph W. Dews IV</w:t>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Jeffrey A. Beck</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Vice Chairperson of the Board of Directors</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Jeffrey A. Beck</w:t>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Steven J. Abrams</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Director</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Steven J. Abrams, Esq.</w:t>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Karl E. Johnsen</w:t>
            </w:r>
          </w:p>
        </w:tc>
        <w:tc>
          <w:tcPr>
            <w:tcW w:w="5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Director</w:t>
            </w:r>
          </w:p>
        </w:tc>
        <w:tc>
          <w:tcPr>
            <w:tcW w:w="19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2"/>
              </w:rPr>
            </w:pPr>
            <w:r>
              <w:rPr>
                <w:rFonts w:ascii="Arial;sans-serif" w:hAnsi="Arial;sans-serif"/>
                <w:b w:val="false"/>
                <w:color w:val="000000"/>
                <w:sz w:val="22"/>
              </w:rPr>
              <w:t>September 1, 2026</w:t>
            </w:r>
          </w:p>
        </w:tc>
      </w:tr>
      <w:tr>
        <w:trPr/>
        <w:tc>
          <w:tcPr>
            <w:tcW w:w="24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Karl E. Johnsen</w:t>
            </w:r>
          </w:p>
        </w:tc>
        <w:tc>
          <w:tcPr>
            <w:tcW w:w="58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107</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3.9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CALCULATION OF FILING FEE TABLE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FORM S-8</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(Form type)</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InTest Corporation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p>
      <w:pPr>
        <w:pStyle w:val="TextBody"/>
        <w:bidi w:val="0"/>
        <w:spacing w:lineRule="auto" w:line="288" w:before="0" w:after="0"/>
        <w:jc w:val="center"/>
        <w:rPr>
          <w:rFonts w:ascii="Arial;sans-serif" w:hAnsi="Arial;sans-serif"/>
          <w:b w:val="false"/>
          <w:color w:val="000000"/>
          <w:sz w:val="22"/>
          <w:u w:val="single"/>
        </w:rPr>
      </w:pPr>
      <w:r>
        <w:rPr>
          <w:rFonts w:ascii="Arial;sans-serif" w:hAnsi="Arial;sans-serif"/>
          <w:b w:val="false"/>
          <w:color w:val="000000"/>
          <w:sz w:val="22"/>
          <w:u w:val="single"/>
        </w:rPr>
        <w:t>Table I: Newly Registered Securities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86"/>
        <w:gridCol w:w="164"/>
        <w:gridCol w:w="165"/>
        <w:gridCol w:w="109"/>
        <w:gridCol w:w="109"/>
        <w:gridCol w:w="109"/>
        <w:gridCol w:w="277"/>
        <w:gridCol w:w="277"/>
        <w:gridCol w:w="279"/>
        <w:gridCol w:w="351"/>
        <w:gridCol w:w="336"/>
        <w:gridCol w:w="338"/>
        <w:gridCol w:w="376"/>
        <w:gridCol w:w="376"/>
        <w:gridCol w:w="378"/>
        <w:gridCol w:w="582"/>
        <w:gridCol w:w="361"/>
        <w:gridCol w:w="360"/>
        <w:gridCol w:w="384"/>
        <w:gridCol w:w="384"/>
        <w:gridCol w:w="385"/>
        <w:gridCol w:w="229"/>
        <w:gridCol w:w="1127"/>
        <w:gridCol w:w="127"/>
        <w:gridCol w:w="370"/>
        <w:gridCol w:w="370"/>
        <w:gridCol w:w="374"/>
        <w:gridCol w:w="226"/>
        <w:gridCol w:w="903"/>
        <w:gridCol w:w="193"/>
      </w:tblGrid>
      <w:tr>
        <w:trPr/>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15"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Security Type</w:t>
            </w:r>
          </w:p>
        </w:tc>
        <w:tc>
          <w:tcPr>
            <w:tcW w:w="1025"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Security Class Title</w:t>
            </w:r>
          </w:p>
        </w:tc>
        <w:tc>
          <w:tcPr>
            <w:tcW w:w="1130"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 Calculation Rule</w:t>
            </w:r>
          </w:p>
        </w:tc>
        <w:tc>
          <w:tcPr>
            <w:tcW w:w="130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 Registered</w:t>
            </w:r>
          </w:p>
        </w:tc>
        <w:tc>
          <w:tcPr>
            <w:tcW w:w="115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Proposed Maximum Offering Price Per Unit</w:t>
            </w:r>
          </w:p>
        </w:tc>
        <w:tc>
          <w:tcPr>
            <w:tcW w:w="1483"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Aggregate Offering Price</w:t>
            </w:r>
          </w:p>
        </w:tc>
        <w:tc>
          <w:tcPr>
            <w:tcW w:w="1114"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Fee Rate</w:t>
            </w:r>
          </w:p>
        </w:tc>
        <w:tc>
          <w:tcPr>
            <w:tcW w:w="1322"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 of Registration Fee</w:t>
            </w:r>
          </w:p>
        </w:tc>
      </w:tr>
      <w:tr>
        <w:trPr/>
        <w:tc>
          <w:tcPr>
            <w:tcW w:w="515"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833"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w:t>
            </w:r>
          </w:p>
        </w:tc>
        <w:tc>
          <w:tcPr>
            <w:tcW w:w="1025"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130" w:type="dxa"/>
            <w:gridSpan w:val="3"/>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43" w:type="dxa"/>
            <w:gridSpan w:val="2"/>
            <w:tcBorders>
              <w:top w:val="single" w:sz="2" w:space="0" w:color="000000"/>
              <w:left w:val="single" w:sz="2" w:space="0" w:color="000000"/>
              <w:bottom w:val="single" w:sz="2" w:space="0" w:color="000000"/>
            </w:tcBorders>
            <w:shd w:fill="CCEEFF" w:val="clear"/>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1,000,000 </w:t>
            </w:r>
          </w:p>
        </w:tc>
        <w:tc>
          <w:tcPr>
            <w:tcW w:w="360" w:type="dxa"/>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229" w:type="dxa"/>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7"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11,330,000 </w:t>
            </w:r>
          </w:p>
        </w:tc>
        <w:tc>
          <w:tcPr>
            <w:tcW w:w="127" w:type="dxa"/>
            <w:tcBorders>
              <w:top w:val="single" w:sz="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$0.00013810</w:t>
            </w:r>
          </w:p>
        </w:tc>
        <w:tc>
          <w:tcPr>
            <w:tcW w:w="226" w:type="dxa"/>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1,564.67 </w:t>
            </w:r>
          </w:p>
        </w:tc>
        <w:tc>
          <w:tcPr>
            <w:tcW w:w="193" w:type="dxa"/>
            <w:tcBorders>
              <w:top w:val="single" w:sz="2" w:space="0" w:color="000000"/>
              <w:right w:val="single" w:sz="2"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right w:val="single" w:sz="2"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4291" w:type="dxa"/>
            <w:gridSpan w:val="12"/>
            <w:tcBorders>
              <w:top w:val="single" w:sz="2" w:space="0" w:color="000000"/>
              <w:bottom w:val="single" w:sz="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Offering Amounts</w:t>
            </w:r>
          </w:p>
        </w:tc>
        <w:tc>
          <w:tcPr>
            <w:tcW w:w="1153"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27"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11,330,000 </w:t>
            </w:r>
          </w:p>
        </w:tc>
        <w:tc>
          <w:tcPr>
            <w:tcW w:w="127" w:type="dxa"/>
            <w:tcBorders>
              <w:top w:val="single" w:sz="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1,564.67 </w:t>
            </w:r>
          </w:p>
        </w:tc>
        <w:tc>
          <w:tcPr>
            <w:tcW w:w="193" w:type="dxa"/>
            <w:tcBorders>
              <w:top w:val="single" w:sz="2" w:space="0" w:color="000000"/>
              <w:right w:val="single" w:sz="2"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right w:val="single" w:sz="2" w:space="0" w:color="000000"/>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4291" w:type="dxa"/>
            <w:gridSpan w:val="12"/>
            <w:tcBorders>
              <w:top w:val="single" w:sz="2" w:space="0" w:color="000000"/>
              <w:bottom w:val="single" w:sz="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Fee offsets</w:t>
            </w:r>
          </w:p>
        </w:tc>
        <w:tc>
          <w:tcPr>
            <w:tcW w:w="1153"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2" w:space="0" w:color="000000"/>
              <w:left w:val="single" w:sz="2"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left w:val="single" w:sz="2" w:space="0" w:color="000000"/>
            </w:tcBorders>
            <w:shd w:fill="CCEEFF" w:val="clear"/>
            <w:tcMar>
              <w:top w:w="3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2" w:space="0" w:color="000000"/>
              <w:right w:val="single" w:sz="2"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4291" w:type="dxa"/>
            <w:gridSpan w:val="12"/>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Fee Due</w:t>
            </w:r>
          </w:p>
        </w:tc>
        <w:tc>
          <w:tcPr>
            <w:tcW w:w="1153"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2" w:space="0" w:color="000000"/>
              <w:left w:val="single" w:sz="2"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2" w:space="0" w:color="000000"/>
              <w:left w:val="single" w:sz="2"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3" w:type="dxa"/>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1,564.67 </w:t>
            </w:r>
          </w:p>
        </w:tc>
        <w:tc>
          <w:tcPr>
            <w:tcW w:w="193" w:type="dxa"/>
            <w:tcBorders>
              <w:top w:val="single" w:sz="2" w:space="0" w:color="000000"/>
              <w:right w:val="single" w:sz="2" w:space="0" w:color="000000"/>
            </w:tcBorders>
            <w:shd w:fill="FFFF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6"/>
              </w:rPr>
            </w:pPr>
            <w:r>
              <w:rPr>
                <w:rFonts w:ascii="Arial;sans-serif" w:hAnsi="Arial;sans-serif"/>
                <w:b w:val="false"/>
                <w:color w:val="000000"/>
                <w:sz w:val="16"/>
              </w:rPr>
              <w:t>(1)</w:t>
            </w:r>
          </w:p>
        </w:tc>
        <w:tc>
          <w:tcPr>
            <w:tcW w:w="9363"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This Registration Statement covers an additional 1,000,000 shares of common stock of the Registrant authorized to be offered and sold under the Company’s 2023 Stock Incentive Plan, as amended effective June 17, 2026. In addition, pursuant to Rule 416(c) under the Securities Act of 1933, as amended (the “Securities Act”), this Registration Statement covers an indeterminate number of additional shares of the Registrant’s common stock that may be issuable as a result of stock splits, stock dividends, or similar transactions. The Proposed Maximum Offering Price is estimated in accordance with Rule 457(c) and (h) of the Securities Act based on the average of the high and low price of the Registrant’s common stock as reported on the New York Stock Exchange on August 28, 2026.</w:t>
            </w:r>
          </w:p>
        </w:tc>
      </w:tr>
      <w:tr>
        <w:trPr/>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5.1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2419350" cy="10096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17"/>
                    <a:stretch>
                      <a:fillRect/>
                    </a:stretch>
                  </pic:blipFill>
                  <pic:spPr bwMode="auto">
                    <a:xfrm>
                      <a:off x="0" y="0"/>
                      <a:ext cx="2419350" cy="1009650"/>
                    </a:xfrm>
                    <a:prstGeom prst="rect">
                      <a:avLst/>
                    </a:prstGeom>
                  </pic:spPr>
                </pic:pic>
              </a:graphicData>
            </a:graphic>
          </wp:inline>
        </w:drawing>
      </w:r>
    </w:p>
    <w:p>
      <w:pPr>
        <w:pStyle w:val="TextBody"/>
        <w:bidi w:val="0"/>
        <w:spacing w:lineRule="auto" w:line="288" w:before="480" w:after="720"/>
        <w:jc w:val="center"/>
        <w:rPr>
          <w:rFonts w:ascii="Times New Roman;serif" w:hAnsi="Times New Roman;serif"/>
          <w:b w:val="false"/>
          <w:color w:val="000000"/>
          <w:sz w:val="24"/>
        </w:rPr>
      </w:pPr>
      <w:r>
        <w:rPr>
          <w:rFonts w:ascii="Times New Roman;serif" w:hAnsi="Times New Roman;serif"/>
          <w:b w:val="false"/>
          <w:color w:val="000000"/>
          <w:sz w:val="24"/>
        </w:rPr>
        <w:t>September 2, 2026</w:t>
      </w:r>
    </w:p>
    <w:tbl>
      <w:tblPr>
        <w:tblW w:w="3222" w:type="dxa"/>
        <w:jc w:val="left"/>
        <w:tblInd w:w="0" w:type="dxa"/>
        <w:tblLayout w:type="fixed"/>
        <w:tblCellMar>
          <w:top w:w="28" w:type="dxa"/>
          <w:left w:w="28" w:type="dxa"/>
          <w:bottom w:w="28" w:type="dxa"/>
          <w:right w:w="28" w:type="dxa"/>
        </w:tblCellMar>
      </w:tblPr>
      <w:tblGrid>
        <w:gridCol w:w="1033"/>
        <w:gridCol w:w="906"/>
        <w:gridCol w:w="911"/>
        <w:gridCol w:w="109"/>
        <w:gridCol w:w="109"/>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InTest Corporation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804 East Gate Dr., Suite 200</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Mt. Laurel, NJ, 08054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Re:    Registration Statement on Form S-8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We have acted as counsel to InTest Corporation,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in connection with its filing of a Registration Statement on Form S-8, together with the exhibits thereto (the “</w:t>
      </w:r>
      <w:r>
        <w:rPr>
          <w:rFonts w:ascii="Times New Roman;serif" w:hAnsi="Times New Roman;serif"/>
          <w:b w:val="false"/>
          <w:color w:val="000000"/>
          <w:sz w:val="24"/>
          <w:u w:val="single"/>
        </w:rPr>
        <w:t>Registration Statement</w:t>
      </w:r>
      <w:r>
        <w:rPr>
          <w:color w:val="000000"/>
        </w:rPr>
        <w:t>”</w:t>
      </w:r>
      <w:r>
        <w:rPr>
          <w:rFonts w:ascii="Times New Roman;serif" w:hAnsi="Times New Roman;serif"/>
          <w:b w:val="false"/>
          <w:color w:val="000000"/>
          <w:sz w:val="24"/>
        </w:rPr>
        <w:t>) to be filed on the date hereof,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with respect to the registration of an additional 1,000,000 shares of the Company’s common stock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par value $0.01 per share, for issuance pursuant to the terms of the InTest Corporation 2023 Stock Incentive Plan, as amended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This opinion is furnished to you at your request to enable you to fulfill the requirements of Item 601(b)(5) of Regulation S-K, 17 C.F.R. § 229.601(b)(5), in connection with the filing of the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For purposes of this opinion, we have with your permission made the following assumptions, in each case without independent verification: (i) the due authorization, execution and delivery of all documents by all the parties thereto; (ii) the genuineness of all signatures on all documents submitted to us; (iii) the authenticity and completeness of all documents, corporate records, certificates and other instruments (the “</w:t>
      </w:r>
      <w:r>
        <w:rPr>
          <w:rFonts w:ascii="Times New Roman;serif" w:hAnsi="Times New Roman;serif"/>
          <w:b w:val="false"/>
          <w:color w:val="000000"/>
          <w:sz w:val="24"/>
          <w:u w:val="single"/>
        </w:rPr>
        <w:t>Records</w:t>
      </w:r>
      <w:r>
        <w:rPr>
          <w:color w:val="000000"/>
        </w:rPr>
        <w:t>”</w:t>
      </w:r>
      <w:r>
        <w:rPr>
          <w:rFonts w:ascii="Times New Roman;serif" w:hAnsi="Times New Roman;serif"/>
          <w:b w:val="false"/>
          <w:color w:val="000000"/>
          <w:sz w:val="24"/>
        </w:rPr>
        <w:t>) submitted to us; (iv) that photocopy, electronic, certified, conformed, facsimile and other copies submitted to us of the Records conform to the original Records; (v) the legal capacity of all individuals executing documents; (vi) that the statements contained in the certificates and comparable documents of public officials, officers and representatives of the Company and other persons on which we have relied for the purposes of this opinion are true and correct; and (vii) that at the time the Shares are issued, the Company will be validly existing and there will be sufficient Shares authorized under the Company’s Certificate of Incorporation, as amended and then in effect, and not otherwise issued or reserved for issuance. As to all questions of fact material to this opinion, we have relied (without independent verification) upon certificates or comparable documents of officers and representatives of the Company.</w:t>
      </w:r>
    </w:p>
    <w:p>
      <w:pPr>
        <w:pStyle w:val="TextBody"/>
        <w:bidi w:val="0"/>
        <w:spacing w:before="0" w:after="0"/>
        <w:jc w:val="center"/>
        <w:rPr/>
      </w:pPr>
      <w:r>
        <w:rPr/>
        <w:drawing>
          <wp:inline distT="0" distB="0" distL="0" distR="0">
            <wp:extent cx="1771650" cy="285750"/>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18"/>
                    <a:stretch>
                      <a:fillRect/>
                    </a:stretch>
                  </pic:blipFill>
                  <pic:spPr bwMode="auto">
                    <a:xfrm>
                      <a:off x="0" y="0"/>
                      <a:ext cx="1771650" cy="28575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68045"/>
                <wp:effectExtent l="0" t="0" r="0" b="0"/>
                <wp:wrapNone/>
                <wp:docPr id="12" name="Frame10"/>
                <a:graphic xmlns:a="http://schemas.openxmlformats.org/drawingml/2006/main">
                  <a:graphicData uri="http://schemas.microsoft.com/office/word/2010/wordprocessingShape">
                    <wps:wsp>
                      <wps:cNvSpPr txBox="1"/>
                      <wps:spPr>
                        <a:xfrm>
                          <a:off x="0" y="0"/>
                          <a:ext cx="6480175" cy="868045"/>
                        </a:xfrm>
                        <a:prstGeom prst="rect"/>
                        <a:solidFill>
                          <a:srgbClr val="FFFFFF"/>
                        </a:solidFill>
                      </wps:spPr>
                      <wps:txbx>
                        <w:txbxContent>
                          <w:tbl>
                            <w:tblPr>
                              <w:tblW w:w="7935" w:type="dxa"/>
                              <w:jc w:val="left"/>
                              <w:tblInd w:w="0" w:type="dxa"/>
                              <w:tblLayout w:type="fixed"/>
                              <w:tblCellMar>
                                <w:top w:w="28" w:type="dxa"/>
                                <w:left w:w="28" w:type="dxa"/>
                                <w:bottom w:w="28" w:type="dxa"/>
                                <w:right w:w="28" w:type="dxa"/>
                              </w:tblCellMar>
                            </w:tblPr>
                            <w:tblGrid>
                              <w:gridCol w:w="2541"/>
                              <w:gridCol w:w="2229"/>
                              <w:gridCol w:w="3165"/>
                            </w:tblGrid>
                            <w:tr>
                              <w:trPr/>
                              <w:tc>
                                <w:tcPr>
                                  <w:tcW w:w="2541" w:type="dxa"/>
                                  <w:tcBorders/>
                                  <w:vAlign w:val="center"/>
                                </w:tcPr>
                                <w:p>
                                  <w:pPr>
                                    <w:pStyle w:val="TableContents"/>
                                    <w:bidi w:val="0"/>
                                    <w:spacing w:before="0" w:after="283"/>
                                    <w:jc w:val="left"/>
                                    <w:rPr>
                                      <w:sz w:val="4"/>
                                      <w:szCs w:val="4"/>
                                    </w:rPr>
                                  </w:pPr>
                                  <w:r>
                                    <w:rPr>
                                      <w:sz w:val="4"/>
                                      <w:szCs w:val="4"/>
                                    </w:rPr>
                                  </w:r>
                                  <w:r>
                                    <w:br w:type="page"/>
                                  </w:r>
                                </w:p>
                              </w:tc>
                              <w:tc>
                                <w:tcPr>
                                  <w:tcW w:w="2229"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1600 BAUSCH &amp; LOMB PLACE ROCHESTER, NY 14604-2711 PHONE: 585.232.6500 FAX: 585.232.2152</w:t>
                                  </w:r>
                                </w:p>
                              </w:tc>
                            </w:tr>
                            <w:tr>
                              <w:trPr/>
                              <w:tc>
                                <w:tcPr>
                                  <w:tcW w:w="7935" w:type="dxa"/>
                                  <w:gridSpan w:val="3"/>
                                  <w:tcBorders>
                                    <w:top w:val="single" w:sz="2" w:space="0" w:color="808080"/>
                                  </w:tcBorders>
                                  <w:tcMar>
                                    <w:top w:w="30" w:type="dxa"/>
                                    <w:left w:w="0" w:type="dxa"/>
                                    <w:bottom w:w="0" w:type="dxa"/>
                                    <w:right w:w="0" w:type="dxa"/>
                                  </w:tcMar>
                                  <w:vAlign w:val="center"/>
                                </w:tcPr>
                                <w:p>
                                  <w:pPr>
                                    <w:pStyle w:val="TableContents"/>
                                    <w:bidi w:val="0"/>
                                    <w:spacing w:lineRule="auto" w:line="288" w:before="40" w:after="40"/>
                                    <w:jc w:val="center"/>
                                    <w:rPr/>
                                  </w:pPr>
                                  <w:r>
                                    <w:rPr>
                                      <w:rFonts w:ascii="Arial;sans-serif" w:hAnsi="Arial;sans-serif"/>
                                      <w:b w:val="false"/>
                                      <w:color w:val="000000"/>
                                      <w:sz w:val="16"/>
                                    </w:rPr>
                                    <w:t>ROCHESTER, NY  </w:t>
                                  </w:r>
                                  <w:r>
                                    <w:rPr>
                                      <w:color w:val="000000"/>
                                    </w:rPr>
                                    <w:t>•  </w:t>
                                  </w:r>
                                  <w:r>
                                    <w:rPr>
                                      <w:rFonts w:ascii="Arial;sans-serif" w:hAnsi="Arial;sans-serif"/>
                                      <w:b w:val="false"/>
                                      <w:color w:val="000000"/>
                                      <w:sz w:val="16"/>
                                    </w:rPr>
                                    <w:t>BUFFALO, NY  </w:t>
                                  </w:r>
                                  <w:r>
                                    <w:rPr>
                                      <w:color w:val="000000"/>
                                    </w:rPr>
                                    <w:t>•  </w:t>
                                  </w:r>
                                  <w:r>
                                    <w:rPr>
                                      <w:rFonts w:ascii="Arial;sans-serif" w:hAnsi="Arial;sans-serif"/>
                                      <w:b w:val="false"/>
                                      <w:color w:val="000000"/>
                                      <w:sz w:val="16"/>
                                    </w:rPr>
                                    <w:t>ALBANY, NY  </w:t>
                                  </w:r>
                                  <w:r>
                                    <w:rPr>
                                      <w:color w:val="000000"/>
                                    </w:rPr>
                                    <w:t>•  </w:t>
                                  </w:r>
                                  <w:r>
                                    <w:rPr>
                                      <w:rFonts w:ascii="Arial;sans-serif" w:hAnsi="Arial;sans-serif"/>
                                      <w:b w:val="false"/>
                                      <w:color w:val="000000"/>
                                      <w:sz w:val="16"/>
                                    </w:rPr>
                                    <w:t>CORNING, NY  </w:t>
                                  </w:r>
                                  <w:r>
                                    <w:rPr>
                                      <w:color w:val="000000"/>
                                    </w:rPr>
                                    <w:t>•  </w:t>
                                  </w:r>
                                  <w:r>
                                    <w:rPr>
                                      <w:rFonts w:ascii="Arial;sans-serif" w:hAnsi="Arial;sans-serif"/>
                                      <w:b w:val="false"/>
                                      <w:color w:val="000000"/>
                                      <w:sz w:val="16"/>
                                    </w:rPr>
                                    <w:t>NEW YORK, NY</w:t>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8.35pt;mso-wrap-distance-left:0pt;mso-wrap-distance-right:0pt;mso-wrap-distance-top:0pt;mso-wrap-distance-bottom:0pt;margin-top:0pt;mso-position-vertical:top;mso-position-vertical-relative:text;margin-left:-157.1pt;mso-position-horizontal:left;mso-position-horizontal-relative:text">
                <v:textbox>
                  <w:txbxContent>
                    <w:tbl>
                      <w:tblPr>
                        <w:tblW w:w="7935" w:type="dxa"/>
                        <w:jc w:val="left"/>
                        <w:tblInd w:w="0" w:type="dxa"/>
                        <w:tblLayout w:type="fixed"/>
                        <w:tblCellMar>
                          <w:top w:w="28" w:type="dxa"/>
                          <w:left w:w="28" w:type="dxa"/>
                          <w:bottom w:w="28" w:type="dxa"/>
                          <w:right w:w="28" w:type="dxa"/>
                        </w:tblCellMar>
                      </w:tblPr>
                      <w:tblGrid>
                        <w:gridCol w:w="2541"/>
                        <w:gridCol w:w="2229"/>
                        <w:gridCol w:w="3165"/>
                      </w:tblGrid>
                      <w:tr>
                        <w:trPr/>
                        <w:tc>
                          <w:tcPr>
                            <w:tcW w:w="2541"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r>
                      <w:tr>
                        <w:trPr/>
                        <w:tc>
                          <w:tcPr>
                            <w:tcW w:w="7935"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Arial;sans-serif" w:hAnsi="Arial;sans-serif"/>
                                <w:b w:val="false"/>
                                <w:color w:val="000000"/>
                                <w:sz w:val="16"/>
                              </w:rPr>
                            </w:pPr>
                            <w:r>
                              <w:rPr>
                                <w:rFonts w:ascii="Arial;sans-serif" w:hAnsi="Arial;sans-serif"/>
                                <w:b w:val="false"/>
                                <w:color w:val="000000"/>
                                <w:sz w:val="16"/>
                              </w:rPr>
                              <w:t>1600 BAUSCH &amp; LOMB PLACE ROCHESTER, NY 14604-2711 PHONE: 585.232.6500 FAX: 585.232.2152</w:t>
                            </w:r>
                          </w:p>
                        </w:tc>
                      </w:tr>
                      <w:tr>
                        <w:trPr/>
                        <w:tc>
                          <w:tcPr>
                            <w:tcW w:w="7935" w:type="dxa"/>
                            <w:gridSpan w:val="3"/>
                            <w:tcBorders>
                              <w:top w:val="single" w:sz="2" w:space="0" w:color="808080"/>
                            </w:tcBorders>
                            <w:tcMar>
                              <w:top w:w="30" w:type="dxa"/>
                              <w:left w:w="0" w:type="dxa"/>
                              <w:bottom w:w="0" w:type="dxa"/>
                              <w:right w:w="0" w:type="dxa"/>
                            </w:tcMar>
                            <w:vAlign w:val="center"/>
                          </w:tcPr>
                          <w:p>
                            <w:pPr>
                              <w:pStyle w:val="TableContents"/>
                              <w:bidi w:val="0"/>
                              <w:spacing w:lineRule="auto" w:line="288" w:before="40" w:after="40"/>
                              <w:jc w:val="center"/>
                              <w:rPr/>
                            </w:pPr>
                            <w:r>
                              <w:rPr>
                                <w:rFonts w:ascii="Arial;sans-serif" w:hAnsi="Arial;sans-serif"/>
                                <w:b w:val="false"/>
                                <w:color w:val="000000"/>
                                <w:sz w:val="16"/>
                              </w:rPr>
                              <w:t>ROCHESTER, NY  </w:t>
                            </w:r>
                            <w:r>
                              <w:rPr>
                                <w:color w:val="000000"/>
                              </w:rPr>
                              <w:t>•  </w:t>
                            </w:r>
                            <w:r>
                              <w:rPr>
                                <w:rFonts w:ascii="Arial;sans-serif" w:hAnsi="Arial;sans-serif"/>
                                <w:b w:val="false"/>
                                <w:color w:val="000000"/>
                                <w:sz w:val="16"/>
                              </w:rPr>
                              <w:t>BUFFALO, NY  </w:t>
                            </w:r>
                            <w:r>
                              <w:rPr>
                                <w:color w:val="000000"/>
                              </w:rPr>
                              <w:t>•  </w:t>
                            </w:r>
                            <w:r>
                              <w:rPr>
                                <w:rFonts w:ascii="Arial;sans-serif" w:hAnsi="Arial;sans-serif"/>
                                <w:b w:val="false"/>
                                <w:color w:val="000000"/>
                                <w:sz w:val="16"/>
                              </w:rPr>
                              <w:t>ALBANY, NY  </w:t>
                            </w:r>
                            <w:r>
                              <w:rPr>
                                <w:color w:val="000000"/>
                              </w:rPr>
                              <w:t>•  </w:t>
                            </w:r>
                            <w:r>
                              <w:rPr>
                                <w:rFonts w:ascii="Arial;sans-serif" w:hAnsi="Arial;sans-serif"/>
                                <w:b w:val="false"/>
                                <w:color w:val="000000"/>
                                <w:sz w:val="16"/>
                              </w:rPr>
                              <w:t>CORNING, NY  </w:t>
                            </w:r>
                            <w:r>
                              <w:rPr>
                                <w:color w:val="000000"/>
                              </w:rPr>
                              <w:t>•  </w:t>
                            </w:r>
                            <w:r>
                              <w:rPr>
                                <w:rFonts w:ascii="Arial;sans-serif" w:hAnsi="Arial;sans-serif"/>
                                <w:b w:val="false"/>
                                <w:color w:val="000000"/>
                                <w:sz w:val="16"/>
                              </w:rPr>
                              <w:t>NEW YORK, NY</w:t>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InTest Corporation - Registration Statement on Form S-8</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September 2,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Based upon, subject to and limited by the foregoing, we are of the opinion that following (i) effectiveness of the Registration Statement with the SEC, (ii) issuance of the Shares in accordance with the terms and conditions of the Plan, and (iii) receipt by the Company of the legal consideration for the Shares as specified in the Plan in an amount no less than the par value of such Shares, the Shares will be validly issued, fully paid and non-assessable.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express no opinion with respect to the effect of any law other than the applicable provisions of the Delaware General Corporate Law as currently in effect.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letter has been prepared in accordance with the customary practice of lawyers who regularly give, and lawyers who regularly advise opinion recipients concerning, opinions of the type contained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opinion letter deals only with the specified legal issues expressly addressed herein, and you should not infer any opinion that is not explicitly addressed herein from any matter stated in this letter.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We consent to the use of this opinion as an exhibit to the Registration Statement. In giving such consent, we do not hereby admit that we are within the category of persons whose consent is required under Section 7 of the Securities Act and the rules and regulations thereunder. This opinion is rendered to you as of the date hereof and we assume no obligation to advise you or any other person hereafter with regard to any change after the date hereof in the circumstances or the law that may bear on the matters set forth herein even though the changes may affect the legal analysis or legal conclusion or other matters in this letter.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 Harter Secrest &amp; Emery LLP</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23.1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360"/>
        <w:jc w:val="center"/>
        <w:rPr>
          <w:rFonts w:ascii="Arial;sans-serif" w:hAnsi="Arial;sans-serif"/>
          <w:b/>
          <w:color w:val="000000"/>
          <w:sz w:val="22"/>
        </w:rPr>
      </w:pPr>
      <w:r>
        <w:rPr>
          <w:rFonts w:ascii="Arial;sans-serif" w:hAnsi="Arial;sans-serif"/>
          <w:b/>
          <w:color w:val="000000"/>
          <w:sz w:val="22"/>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We consent to the incorporation by reference in this Registration Statement on Form S-8 of InTest Corporation of our reports dated March 12, 2026, relating to the consolidated financial statements, the financial statement schedule and the effectiveness of internal control over financial reporting of InTest Corporation, appearing in the Annual Report on Form 10-K of InTest Corporation for the year ended December 31, 2025.</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 RSM US LLP</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Blue Bell, Pennsylvania</w:t>
      </w:r>
    </w:p>
    <w:p>
      <w:pPr>
        <w:pStyle w:val="TextBody"/>
        <w:bidi w:val="0"/>
        <w:spacing w:lineRule="auto" w:line="240" w:before="0" w:after="0"/>
        <w:jc w:val="left"/>
        <w:rPr>
          <w:rFonts w:ascii="Arial;sans-serif" w:hAnsi="Arial;sans-serif"/>
          <w:b w:val="false"/>
          <w:color w:val="000000"/>
          <w:sz w:val="22"/>
        </w:rPr>
      </w:pPr>
      <w:r>
        <w:rPr>
          <w:rFonts w:ascii="Arial;sans-serif" w:hAnsi="Arial;sans-serif"/>
          <w:b w:val="false"/>
          <w:color w:val="000000"/>
          <w:sz w:val="22"/>
        </w:rPr>
        <w:t>September 2,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036262/000103626226000012/intt-20251231.htm" TargetMode="External"/><Relationship Id="rId3" Type="http://schemas.openxmlformats.org/officeDocument/2006/relationships/hyperlink" Target="https://www.sec.gov/ix?doc=/Archives/edgar/data/0001036262/000103626226000032/intt-20260331.htm" TargetMode="External"/><Relationship Id="rId4" Type="http://schemas.openxmlformats.org/officeDocument/2006/relationships/hyperlink" Target="https://www.sec.gov/ix?doc=/Archives/edgar/data/1036262/000103626226000045/intt-20260630.htm" TargetMode="External"/><Relationship Id="rId5" Type="http://schemas.openxmlformats.org/officeDocument/2006/relationships/hyperlink" Target="https://www.sec.gov/ix?doc=/Archives/edgar/data/0001036262/000103626226000007/intt-20260304.htm" TargetMode="External"/><Relationship Id="rId6" Type="http://schemas.openxmlformats.org/officeDocument/2006/relationships/hyperlink" Target="https://www.sec.gov/ix?doc=/Archives/edgar/data/0001036262/000103626226000014/intt-20260331.htm" TargetMode="External"/><Relationship Id="rId7" Type="http://schemas.openxmlformats.org/officeDocument/2006/relationships/hyperlink" Target="https://www.sec.gov/ix?doc=/Archives/edgar/data/0001036262/000103626226000016/intt-20260406.htm" TargetMode="External"/><Relationship Id="rId8" Type="http://schemas.openxmlformats.org/officeDocument/2006/relationships/hyperlink" Target="https://www.sec.gov/ix?doc=/Archives/edgar/data/0001036262/000103626226000029/intt-20260504.htm" TargetMode="External"/><Relationship Id="rId9" Type="http://schemas.openxmlformats.org/officeDocument/2006/relationships/hyperlink" Target="https://www.sec.gov/ix?doc=/Archives/edgar/data/0001036262/000103626226000036/intt-20260617.htm" TargetMode="External"/><Relationship Id="rId10" Type="http://schemas.openxmlformats.org/officeDocument/2006/relationships/hyperlink" Target="https://www.sec.gov/ix?doc=/Archives/edgar/data/1036262/000103626226000047/intt-20260814.htm" TargetMode="External"/><Relationship Id="rId11" Type="http://schemas.openxmlformats.org/officeDocument/2006/relationships/hyperlink" Target="https://www.sec.gov/Archives/edgar/data/1036262/000103626213000039/f8a-100813.htm" TargetMode="External"/><Relationship Id="rId12" Type="http://schemas.openxmlformats.org/officeDocument/2006/relationships/hyperlink" Target="https://www.sec.gov/Archives/edgar/data/1036262/000143774920005921/ex_177251.htm" TargetMode="External"/><Relationship Id="rId13" Type="http://schemas.openxmlformats.org/officeDocument/2006/relationships/hyperlink" Target="https://www.sec.gov/Archives/edgar/data/1036262/000143774920005921/ex_177250.htm" TargetMode="External"/><Relationship Id="rId14" Type="http://schemas.openxmlformats.org/officeDocument/2006/relationships/hyperlink" Target="https://www.sec.gov/Archives/edgar/data/1036262/000143774918007703/ex_111081.htm" TargetMode="External"/><Relationship Id="rId15" Type="http://schemas.openxmlformats.org/officeDocument/2006/relationships/hyperlink" Target="https://www.sec.gov/Archives/edgar/data/1036262/000103626211000033/ex41-8aa050411.htm" TargetMode="External"/><Relationship Id="rId16" Type="http://schemas.openxmlformats.org/officeDocument/2006/relationships/hyperlink" Target="https://www.sec.gov/ix?doc=/Archives/edgar/data/0001036262/000103626226000024/intt-20260428.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3867</Words>
  <Characters>20692</Characters>
  <CharactersWithSpaces>24404</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